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汝阳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兴福村镇银行股份有限公司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年半年度第三支柱信息披露报告</w:t>
      </w:r>
    </w:p>
    <w:bookmarkEnd w:id="0"/>
    <w:p>
      <w:pPr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ind w:firstLine="640" w:firstLineChars="200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公司为非国内系统重要性银行，根据《商业银行资本管理办法》（以下简称“办法”），公司属于第三档商业银行，按照办法附件</w:t>
      </w:r>
      <w:r>
        <w:rPr>
          <w:rFonts w:ascii="仿宋" w:hAnsi="仿宋" w:eastAsia="仿宋" w:cs="仿宋"/>
          <w:sz w:val="32"/>
          <w:szCs w:val="32"/>
          <w:lang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《第三档商业银行资本监管规定》，本期公司需披露的报表如下：</w:t>
      </w:r>
    </w:p>
    <w:p>
      <w:pPr>
        <w:spacing w:before="156" w:beforeLines="50"/>
        <w:jc w:val="center"/>
        <w:rPr>
          <w:rFonts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关键审慎监管指标</w:t>
      </w:r>
    </w:p>
    <w:p>
      <w:pPr>
        <w:jc w:val="right"/>
        <w:rPr>
          <w:rFonts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单位：人民币万元</w:t>
      </w:r>
    </w:p>
    <w:tbl>
      <w:tblPr>
        <w:tblStyle w:val="4"/>
        <w:tblW w:w="943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636"/>
        <w:gridCol w:w="1408"/>
        <w:gridCol w:w="147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556" w:type="dxa"/>
            <w:gridSpan w:val="2"/>
            <w:vMerge w:val="restart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  <w:lang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a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b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556" w:type="dxa"/>
            <w:gridSpan w:val="2"/>
            <w:vMerge w:val="continue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T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T-1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可用资本（数额）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ascii="仿宋" w:hAnsi="仿宋" w:eastAsia="仿宋" w:cs="Arial Unicode MS"/>
                <w:color w:val="000000"/>
              </w:rPr>
              <w:t>1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核心一级资本净额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8766.74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7677.79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2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资本净额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11137.17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9858.07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  <w:lang w:eastAsia="zh-CN"/>
              </w:rPr>
              <w:t>风险加权资产（数额）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3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信用风险加权资产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44643.51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45422.66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4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操作风险加权资产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7479.94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7479.94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5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风险加权资产合计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52123.45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52902.60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资本充足率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tcBorders>
              <w:left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6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核心一级资本充足率（</w:t>
            </w:r>
            <w:r>
              <w:rPr>
                <w:rFonts w:ascii="仿宋" w:hAnsi="仿宋" w:eastAsia="仿宋" w:cs="Arial Unicode MS"/>
                <w:color w:val="000000"/>
                <w:lang w:eastAsia="zh-CN"/>
              </w:rPr>
              <w:t>%）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16.82</w:t>
            </w:r>
          </w:p>
        </w:tc>
        <w:tc>
          <w:tcPr>
            <w:tcW w:w="1470" w:type="dxa"/>
            <w:tcBorders>
              <w:right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14.51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7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资本充足率（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21.37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18.63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杠杆率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8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调整后表内外资产余额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106381.20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98108.01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9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杠杆率</w:t>
            </w:r>
            <w:r>
              <w:rPr>
                <w:rFonts w:hint="eastAsia" w:ascii="仿宋" w:hAnsi="仿宋" w:eastAsia="仿宋" w:cs="Arial Unicode MS"/>
                <w:color w:val="000000"/>
              </w:rPr>
              <w:t>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8.24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7.83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10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仿宋_GB2312"/>
                <w:color w:val="000000"/>
              </w:rPr>
              <w:t>杠杆率a</w:t>
            </w:r>
            <w:r>
              <w:rPr>
                <w:rFonts w:hint="eastAsia" w:ascii="仿宋" w:hAnsi="仿宋" w:eastAsia="仿宋" w:cs="Arial Unicode MS"/>
                <w:color w:val="000000"/>
              </w:rPr>
              <w:t>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8.24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7.83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34" w:type="dxa"/>
            <w:gridSpan w:val="4"/>
            <w:shd w:val="clear" w:color="000000" w:fill="D9D9D9"/>
          </w:tcPr>
          <w:p>
            <w:pPr>
              <w:snapToGrid w:val="0"/>
              <w:spacing w:line="480" w:lineRule="exact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/>
              </w:rPr>
              <w:t>流动性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11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  <w:lang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eastAsia="zh-CN"/>
              </w:rPr>
              <w:t>优质流动性资产充足率（</w:t>
            </w:r>
            <w:r>
              <w:rPr>
                <w:rFonts w:ascii="仿宋" w:hAnsi="仿宋" w:eastAsia="仿宋" w:cs="Arial Unicode MS"/>
                <w:color w:val="000000"/>
                <w:lang w:eastAsia="zh-CN"/>
              </w:rPr>
              <w:t>%）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309.87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186.12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12</w:t>
            </w:r>
          </w:p>
        </w:tc>
        <w:tc>
          <w:tcPr>
            <w:tcW w:w="5636" w:type="dxa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流动性比例（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379.95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258.07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13</w:t>
            </w:r>
          </w:p>
        </w:tc>
        <w:tc>
          <w:tcPr>
            <w:tcW w:w="5636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both"/>
              <w:rPr>
                <w:rFonts w:ascii="仿宋" w:hAnsi="仿宋" w:eastAsia="仿宋" w:cs="Arial Unicode MS"/>
                <w:color w:val="000000"/>
              </w:rPr>
            </w:pPr>
            <w:r>
              <w:rPr>
                <w:rFonts w:hint="eastAsia" w:ascii="仿宋" w:hAnsi="仿宋" w:eastAsia="仿宋" w:cs="Arial Unicode MS"/>
                <w:color w:val="000000"/>
              </w:rPr>
              <w:t>流动性匹配率（</w:t>
            </w:r>
            <w:r>
              <w:rPr>
                <w:rFonts w:ascii="仿宋" w:hAnsi="仿宋" w:eastAsia="仿宋" w:cs="Arial Unicode MS"/>
                <w:color w:val="000000"/>
              </w:rPr>
              <w:t>%）</w:t>
            </w:r>
          </w:p>
        </w:tc>
        <w:tc>
          <w:tcPr>
            <w:tcW w:w="1408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209.24</w:t>
            </w:r>
          </w:p>
        </w:tc>
        <w:tc>
          <w:tcPr>
            <w:tcW w:w="1470" w:type="dxa"/>
            <w:shd w:val="clear" w:color="auto" w:fill="FFFFFF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default" w:ascii="仿宋" w:hAnsi="仿宋" w:eastAsia="仿宋" w:cs="Arial Unicode MS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Arial Unicode MS"/>
                <w:color w:val="000000"/>
                <w:lang w:val="en-US" w:eastAsia="zh-CN"/>
              </w:rPr>
              <w:t>188.91</w:t>
            </w:r>
          </w:p>
        </w:tc>
      </w:tr>
    </w:tbl>
    <w:p>
      <w:pPr>
        <w:rPr>
          <w:rFonts w:ascii="仿宋" w:hAnsi="仿宋" w:eastAsia="仿宋" w:cs="仿宋"/>
          <w:lang w:eastAsia="zh-CN"/>
        </w:rPr>
      </w:pPr>
    </w:p>
    <w:sectPr>
      <w:footerReference r:id="rId3" w:type="default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6050"/>
    <w:rsid w:val="00102C97"/>
    <w:rsid w:val="001501A6"/>
    <w:rsid w:val="00172A27"/>
    <w:rsid w:val="002072B6"/>
    <w:rsid w:val="00215F8A"/>
    <w:rsid w:val="00223FDE"/>
    <w:rsid w:val="0025279F"/>
    <w:rsid w:val="00331308"/>
    <w:rsid w:val="006E6510"/>
    <w:rsid w:val="00731161"/>
    <w:rsid w:val="00766A65"/>
    <w:rsid w:val="00844913"/>
    <w:rsid w:val="00894CEA"/>
    <w:rsid w:val="00B87DD9"/>
    <w:rsid w:val="00EA19F5"/>
    <w:rsid w:val="0414292B"/>
    <w:rsid w:val="08F972CE"/>
    <w:rsid w:val="09CD2478"/>
    <w:rsid w:val="0FE8639C"/>
    <w:rsid w:val="1AED137F"/>
    <w:rsid w:val="33191FB8"/>
    <w:rsid w:val="359527F5"/>
    <w:rsid w:val="3B084B8F"/>
    <w:rsid w:val="413F229E"/>
    <w:rsid w:val="456E53FE"/>
    <w:rsid w:val="4B4C3DB0"/>
    <w:rsid w:val="4C2645C5"/>
    <w:rsid w:val="4D3D0AB6"/>
    <w:rsid w:val="4E0931F7"/>
    <w:rsid w:val="52FE6B4C"/>
    <w:rsid w:val="553D751D"/>
    <w:rsid w:val="56FF5ECE"/>
    <w:rsid w:val="58E17E24"/>
    <w:rsid w:val="5F385158"/>
    <w:rsid w:val="68BB73E0"/>
    <w:rsid w:val="6C986413"/>
    <w:rsid w:val="6CC249E2"/>
    <w:rsid w:val="7BA4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87</TotalTime>
  <ScaleCrop>false</ScaleCrop>
  <LinksUpToDate>false</LinksUpToDate>
  <CharactersWithSpaces>387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2024-08-14T01:42:00Z</dcterms:created>
  <dc:creator>何时凤</dc:creator>
  <cp:lastModifiedBy>dell</cp:lastModifiedBy>
  <cp:lastPrinted>2024-04-26T03:51:00Z</cp:lastPrinted>
  <dcterms:modified xsi:type="dcterms:W3CDTF">2025-08-27T06:46:33Z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540C4703F93D48FCB03F691F380AC879</vt:lpwstr>
  </property>
</Properties>
</file>