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扬州高邮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兴福村镇银行有限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责任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公司</w:t>
      </w:r>
    </w:p>
    <w:p>
      <w:pPr>
        <w:jc w:val="center"/>
        <w:rPr>
          <w:rFonts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 xml:space="preserve"> 年半年度第三支柱信息披露报告</w:t>
      </w:r>
    </w:p>
    <w:p>
      <w:pPr>
        <w:ind w:firstLine="640" w:firstLineChars="200"/>
        <w:rPr>
          <w:rFonts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公司为非国内系统重要性银行，根据《商业银行资本管理办法》（以下简称“办法”），公司属于第三档商业银行，按照办法附件</w:t>
      </w:r>
      <w:r>
        <w:rPr>
          <w:rFonts w:ascii="仿宋" w:hAnsi="仿宋" w:eastAsia="仿宋" w:cs="仿宋"/>
          <w:sz w:val="32"/>
          <w:szCs w:val="32"/>
          <w:lang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《第三档商业银行资本监管规定》，本期公司需披露的报表如下：</w:t>
      </w:r>
    </w:p>
    <w:p>
      <w:pPr>
        <w:spacing w:before="156" w:beforeLines="50"/>
        <w:jc w:val="center"/>
        <w:rPr>
          <w:rFonts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关键审慎监管指标</w:t>
      </w:r>
    </w:p>
    <w:p>
      <w:pPr>
        <w:jc w:val="right"/>
        <w:rPr>
          <w:rFonts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单位：人民币万元</w:t>
      </w:r>
    </w:p>
    <w:tbl>
      <w:tblPr>
        <w:tblStyle w:val="4"/>
        <w:tblW w:w="943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5636"/>
        <w:gridCol w:w="1408"/>
        <w:gridCol w:w="14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56" w:type="dxa"/>
            <w:gridSpan w:val="2"/>
            <w:vMerge w:val="restart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  <w:lang w:eastAsia="zh-CN"/>
              </w:rPr>
            </w:pP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a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56" w:type="dxa"/>
            <w:gridSpan w:val="2"/>
            <w:vMerge w:val="continue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T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T-1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434" w:type="dxa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可用资本（数额）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1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核心一级资本净额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17774.51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16303.80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2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资本净额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21503.15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19876.82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434" w:type="dxa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  <w:lang w:eastAsia="zh-CN"/>
              </w:rPr>
              <w:t>风险加权资产（数额）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3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信用风险加权资产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120444.50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106427.95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4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操作风险加权资产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14426.20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14426.20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5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风险加权资产合计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134870.70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120854.14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434" w:type="dxa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资本充足率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tcBorders>
              <w:lef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6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核心一级资本充足率（</w:t>
            </w:r>
            <w:r>
              <w:rPr>
                <w:rFonts w:ascii="仿宋" w:hAnsi="仿宋" w:eastAsia="仿宋" w:cs="Arial Unicode MS"/>
                <w:color w:val="000000"/>
                <w:lang w:eastAsia="zh-CN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13.18</w:t>
            </w:r>
          </w:p>
        </w:tc>
        <w:tc>
          <w:tcPr>
            <w:tcW w:w="1470" w:type="dxa"/>
            <w:tcBorders>
              <w:righ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13.49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7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资本充足率（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15.94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16.45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434" w:type="dxa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杠杆率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8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调整后表内外资产余额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243061.64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219208.72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9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杠杆率</w:t>
            </w:r>
            <w:r>
              <w:rPr>
                <w:rFonts w:hint="eastAsia" w:ascii="仿宋" w:hAnsi="仿宋" w:eastAsia="仿宋" w:cs="Arial Unicode MS"/>
                <w:color w:val="000000"/>
              </w:rPr>
              <w:t>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7.31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7.44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10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杠杆率a</w:t>
            </w:r>
            <w:r>
              <w:rPr>
                <w:rFonts w:hint="eastAsia" w:ascii="仿宋" w:hAnsi="仿宋" w:eastAsia="仿宋" w:cs="Arial Unicode MS"/>
                <w:color w:val="000000"/>
              </w:rPr>
              <w:t>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7.31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7.44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434" w:type="dxa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流动性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11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优质流动性资产充足率（</w:t>
            </w:r>
            <w:r>
              <w:rPr>
                <w:rFonts w:ascii="仿宋" w:hAnsi="仿宋" w:eastAsia="仿宋" w:cs="Arial Unicode MS"/>
                <w:color w:val="000000"/>
                <w:lang w:eastAsia="zh-CN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98.39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225.13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12</w:t>
            </w:r>
          </w:p>
        </w:tc>
        <w:tc>
          <w:tcPr>
            <w:tcW w:w="5636" w:type="dxa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流动性比例（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1408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184.26</w:t>
            </w:r>
          </w:p>
        </w:tc>
        <w:tc>
          <w:tcPr>
            <w:tcW w:w="147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149.20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0" w:type="dxa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13</w:t>
            </w:r>
          </w:p>
        </w:tc>
        <w:tc>
          <w:tcPr>
            <w:tcW w:w="5636" w:type="dxa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流动性匹配率（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1408" w:type="dxa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203.54</w:t>
            </w:r>
          </w:p>
        </w:tc>
        <w:tc>
          <w:tcPr>
            <w:tcW w:w="1470" w:type="dxa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188.41</w:t>
            </w:r>
          </w:p>
        </w:tc>
      </w:tr>
    </w:tbl>
    <w:p>
      <w:pPr>
        <w:rPr>
          <w:rFonts w:ascii="仿宋" w:hAnsi="仿宋" w:eastAsia="仿宋" w:cs="仿宋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6050"/>
    <w:rsid w:val="00102C97"/>
    <w:rsid w:val="001501A6"/>
    <w:rsid w:val="00172A27"/>
    <w:rsid w:val="002072B6"/>
    <w:rsid w:val="00215F8A"/>
    <w:rsid w:val="00223FDE"/>
    <w:rsid w:val="0025279F"/>
    <w:rsid w:val="00331308"/>
    <w:rsid w:val="006E6510"/>
    <w:rsid w:val="00731161"/>
    <w:rsid w:val="00766A65"/>
    <w:rsid w:val="00844913"/>
    <w:rsid w:val="00894CEA"/>
    <w:rsid w:val="00B87DD9"/>
    <w:rsid w:val="00EA19F5"/>
    <w:rsid w:val="0414292B"/>
    <w:rsid w:val="0707397D"/>
    <w:rsid w:val="08F972CE"/>
    <w:rsid w:val="09CD2478"/>
    <w:rsid w:val="0FE8639C"/>
    <w:rsid w:val="1AED137F"/>
    <w:rsid w:val="2DE86D85"/>
    <w:rsid w:val="2E6E637B"/>
    <w:rsid w:val="33191FB8"/>
    <w:rsid w:val="359527F5"/>
    <w:rsid w:val="3B084B8F"/>
    <w:rsid w:val="447D38C7"/>
    <w:rsid w:val="456E53FE"/>
    <w:rsid w:val="4C2645C5"/>
    <w:rsid w:val="4D3D0AB6"/>
    <w:rsid w:val="52FE6B4C"/>
    <w:rsid w:val="553D751D"/>
    <w:rsid w:val="56FF5ECE"/>
    <w:rsid w:val="68BB73E0"/>
    <w:rsid w:val="6CC249E2"/>
    <w:rsid w:val="7BA4337C"/>
    <w:rsid w:val="7CE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5">
    <w:name w:val="Table Grid"/>
    <w:basedOn w:val="4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331</Characters>
  <Lines>2</Lines>
  <Paragraphs>1</Paragraphs>
  <TotalTime>11</TotalTime>
  <ScaleCrop>false</ScaleCrop>
  <LinksUpToDate>false</LinksUpToDate>
  <CharactersWithSpaces>387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2024-08-14T01:42:00Z</dcterms:created>
  <dc:creator>何时凤</dc:creator>
  <cp:lastModifiedBy>Lenovo</cp:lastModifiedBy>
  <cp:lastPrinted>2024-04-26T03:51:00Z</cp:lastPrinted>
  <dcterms:modified xsi:type="dcterms:W3CDTF">2026-08-24T09:03:45Z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540C4703F93D48FCB03F691F380AC879</vt:lpwstr>
  </property>
</Properties>
</file>