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color w:val="000000"/>
          <w:sz w:val="36"/>
        </w:rPr>
      </w:pPr>
      <w:r>
        <w:rPr>
          <w:rFonts w:hint="eastAsia" w:ascii="宋体" w:hAnsi="宋体" w:eastAsia="宋体" w:cs="宋体"/>
          <w:b/>
          <w:color w:val="000000"/>
          <w:sz w:val="36"/>
        </w:rPr>
        <w:t>常乐</w:t>
      </w:r>
      <w:r>
        <w:rPr>
          <w:rFonts w:hint="eastAsia" w:ascii="宋体" w:hAnsi="宋体" w:cs="宋体"/>
          <w:b/>
          <w:color w:val="000000"/>
          <w:sz w:val="36"/>
          <w:lang w:eastAsia="zh-CN"/>
        </w:rPr>
        <w:t>智享六个月</w:t>
      </w:r>
      <w:r>
        <w:rPr>
          <w:rFonts w:hint="eastAsia" w:ascii="宋体" w:hAnsi="宋体" w:cs="宋体"/>
          <w:b/>
          <w:color w:val="000000"/>
          <w:sz w:val="36"/>
          <w:lang w:val="en-US" w:eastAsia="zh-CN"/>
        </w:rPr>
        <w:t>A款</w:t>
      </w:r>
      <w:r>
        <w:rPr>
          <w:rFonts w:hint="eastAsia" w:ascii="宋体" w:hAnsi="宋体" w:eastAsia="宋体" w:cs="宋体"/>
          <w:b/>
          <w:color w:val="000000"/>
          <w:sz w:val="36"/>
        </w:rPr>
        <w:t>净值型</w:t>
      </w:r>
      <w:r>
        <w:rPr>
          <w:rFonts w:hint="eastAsia" w:ascii="方正大标宋简体" w:hAnsi="宋体" w:eastAsia="方正大标宋简体"/>
          <w:b/>
          <w:color w:val="000000"/>
          <w:sz w:val="36"/>
          <w:szCs w:val="36"/>
        </w:rPr>
        <w:t>人民币</w:t>
      </w:r>
      <w:r>
        <w:rPr>
          <w:rFonts w:hint="eastAsia" w:ascii="宋体" w:hAnsi="宋体" w:eastAsia="宋体" w:cs="宋体"/>
          <w:b/>
          <w:color w:val="000000"/>
          <w:sz w:val="36"/>
        </w:rPr>
        <w:t>理财产品</w:t>
      </w:r>
    </w:p>
    <w:p>
      <w:pPr>
        <w:jc w:val="center"/>
        <w:rPr>
          <w:rFonts w:ascii="宋体" w:hAnsi="宋体" w:eastAsia="宋体" w:cs="宋体"/>
          <w:b/>
          <w:color w:val="000000"/>
          <w:kern w:val="0"/>
          <w:sz w:val="32"/>
          <w:szCs w:val="32"/>
        </w:rPr>
      </w:pPr>
      <w:r>
        <w:rPr>
          <w:rFonts w:hint="eastAsia" w:ascii="宋体" w:hAnsi="宋体" w:eastAsia="宋体" w:cs="宋体"/>
          <w:b/>
          <w:color w:val="000000"/>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u w:val="none"/>
              </w:rPr>
            </w:pPr>
            <w:r>
              <w:rPr>
                <w:rFonts w:hint="eastAsia" w:ascii="宋体" w:hAnsi="宋体" w:cs="宋体"/>
                <w:color w:val="000000"/>
                <w:sz w:val="24"/>
                <w:szCs w:val="24"/>
                <w:u w:val="none"/>
                <w:lang w:eastAsia="zh-CN"/>
              </w:rPr>
              <w:t>常乐智享六个月A款</w:t>
            </w:r>
            <w:r>
              <w:rPr>
                <w:rFonts w:hint="eastAsia" w:ascii="宋体" w:hAnsi="宋体" w:eastAsia="宋体" w:cs="宋体"/>
                <w:color w:val="000000"/>
                <w:sz w:val="24"/>
                <w:szCs w:val="24"/>
                <w:u w:val="none"/>
              </w:rPr>
              <w:t>-</w:t>
            </w:r>
            <w:r>
              <w:rPr>
                <w:rFonts w:hint="eastAsia" w:ascii="宋体" w:hAnsi="宋体" w:cs="宋体"/>
                <w:color w:val="000000"/>
                <w:sz w:val="24"/>
                <w:szCs w:val="24"/>
                <w:u w:val="none"/>
                <w:lang w:val="en-US" w:eastAsia="zh-CN"/>
              </w:rPr>
              <w:t>206</w:t>
            </w:r>
            <w:r>
              <w:rPr>
                <w:rFonts w:hint="eastAsia" w:ascii="宋体" w:hAnsi="宋体" w:eastAsia="宋体" w:cs="宋体"/>
                <w:color w:val="000000"/>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color w:val="000000"/>
                <w:kern w:val="0"/>
                <w:sz w:val="24"/>
                <w:szCs w:val="24"/>
                <w:u w:val="none"/>
                <w:lang w:val="en-US"/>
              </w:rPr>
            </w:pPr>
            <w:r>
              <w:rPr>
                <w:rFonts w:hint="eastAsia" w:ascii="宋体" w:hAnsi="宋体" w:cs="宋体"/>
                <w:color w:val="000000"/>
                <w:kern w:val="0"/>
                <w:sz w:val="24"/>
                <w:szCs w:val="24"/>
                <w:u w:val="none"/>
                <w:lang w:val="en-US" w:eastAsia="zh-CN"/>
              </w:rPr>
              <w:t>CLZXA6M206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12</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18</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19日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08</w:t>
            </w:r>
            <w:r>
              <w:rPr>
                <w:rFonts w:hint="eastAsia"/>
                <w:color w:val="000000"/>
                <w:sz w:val="22"/>
                <w:szCs w:val="22"/>
                <w:u w:val="none"/>
              </w:rPr>
              <w:t>月</w:t>
            </w:r>
            <w:r>
              <w:rPr>
                <w:rFonts w:hint="eastAsia"/>
                <w:color w:val="000000"/>
                <w:sz w:val="22"/>
                <w:szCs w:val="22"/>
                <w:u w:val="none"/>
                <w:lang w:val="en-US" w:eastAsia="zh-CN"/>
              </w:rPr>
              <w:t>20</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lang w:val="en-US" w:eastAsia="zh-CN"/>
              </w:rPr>
            </w:pPr>
            <w:r>
              <w:rPr>
                <w:rFonts w:hint="eastAsia"/>
                <w:color w:val="000000"/>
                <w:sz w:val="22"/>
                <w:szCs w:val="22"/>
                <w:lang w:val="en-US" w:eastAsia="zh-CN"/>
              </w:rPr>
              <w:t>182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highlight w:val="none"/>
                <w:u w:val="none"/>
              </w:rPr>
              <w:t>人民银行一年期定期存款利率（1.50%）+</w:t>
            </w:r>
            <w:r>
              <w:rPr>
                <w:rFonts w:hint="eastAsia" w:ascii="宋体" w:hAnsi="宋体" w:cs="宋体"/>
                <w:color w:val="000000"/>
                <w:kern w:val="0"/>
                <w:sz w:val="24"/>
                <w:szCs w:val="24"/>
                <w:highlight w:val="none"/>
                <w:u w:val="none"/>
                <w:lang w:val="en-US" w:eastAsia="zh-CN"/>
              </w:rPr>
              <w:t>0.85</w:t>
            </w:r>
            <w:r>
              <w:rPr>
                <w:rFonts w:ascii="宋体" w:hAnsi="宋体" w:cs="宋体"/>
                <w:color w:val="000000"/>
                <w:kern w:val="0"/>
                <w:sz w:val="24"/>
                <w:szCs w:val="24"/>
                <w:highlight w:val="none"/>
                <w:u w:val="none"/>
              </w:rPr>
              <w:t>%,</w:t>
            </w:r>
            <w:r>
              <w:rPr>
                <w:rFonts w:hint="eastAsia" w:ascii="宋体" w:hAnsi="宋体" w:cs="宋体"/>
                <w:color w:val="000000"/>
                <w:kern w:val="0"/>
                <w:sz w:val="24"/>
                <w:szCs w:val="24"/>
                <w:highlight w:val="none"/>
                <w:u w:val="none"/>
              </w:rPr>
              <w:t>即</w:t>
            </w:r>
            <w:r>
              <w:rPr>
                <w:rFonts w:ascii="宋体" w:hAnsi="宋体" w:cs="宋体"/>
                <w:color w:val="000000"/>
                <w:kern w:val="0"/>
                <w:sz w:val="24"/>
                <w:szCs w:val="24"/>
                <w:highlight w:val="none"/>
                <w:u w:val="none"/>
              </w:rPr>
              <w:fldChar w:fldCharType="begin"/>
            </w:r>
            <w:r>
              <w:rPr>
                <w:rFonts w:ascii="宋体" w:hAnsi="宋体" w:cs="宋体"/>
                <w:color w:val="000000"/>
                <w:kern w:val="0"/>
                <w:sz w:val="24"/>
                <w:szCs w:val="24"/>
                <w:highlight w:val="none"/>
                <w:u w:val="none"/>
              </w:rPr>
              <w:instrText xml:space="preserve">  DOCVARIABLE Sherry</w:instrText>
            </w:r>
            <w:r>
              <w:rPr>
                <w:rFonts w:hint="eastAsia" w:ascii="宋体" w:hAnsi="宋体" w:cs="宋体"/>
                <w:color w:val="000000"/>
                <w:kern w:val="0"/>
                <w:sz w:val="24"/>
                <w:szCs w:val="24"/>
                <w:highlight w:val="none"/>
                <w:u w:val="none"/>
              </w:rPr>
              <w:instrText xml:space="preserve">8</w:instrText>
            </w:r>
            <w:r>
              <w:rPr>
                <w:rFonts w:ascii="宋体" w:hAnsi="宋体" w:cs="宋体"/>
                <w:color w:val="000000"/>
                <w:kern w:val="0"/>
                <w:sz w:val="24"/>
                <w:szCs w:val="24"/>
                <w:highlight w:val="none"/>
                <w:u w:val="none"/>
              </w:rPr>
              <w:fldChar w:fldCharType="separate"/>
            </w:r>
            <w:r>
              <w:rPr>
                <w:rFonts w:hint="eastAsia" w:ascii="宋体" w:hAnsi="宋体" w:cs="宋体"/>
                <w:color w:val="000000"/>
                <w:kern w:val="0"/>
                <w:sz w:val="24"/>
                <w:szCs w:val="24"/>
                <w:highlight w:val="none"/>
                <w:u w:val="none"/>
                <w:lang w:val="en-US" w:eastAsia="zh-CN"/>
              </w:rPr>
              <w:t>2.35</w:t>
            </w:r>
            <w:r>
              <w:rPr>
                <w:rFonts w:ascii="宋体" w:hAnsi="宋体" w:cs="宋体"/>
                <w:color w:val="000000"/>
                <w:kern w:val="0"/>
                <w:sz w:val="24"/>
                <w:szCs w:val="24"/>
                <w:highlight w:val="none"/>
                <w:u w:val="none"/>
              </w:rPr>
              <w:t>%</w:t>
            </w:r>
            <w:r>
              <w:rPr>
                <w:rFonts w:ascii="宋体" w:hAnsi="宋体" w:cs="宋体"/>
                <w:color w:val="000000"/>
                <w:kern w:val="0"/>
                <w:sz w:val="24"/>
                <w:szCs w:val="24"/>
                <w:highlight w:val="none"/>
                <w:u w:val="none"/>
              </w:rPr>
              <w:fldChar w:fldCharType="end"/>
            </w:r>
            <w:r>
              <w:rPr>
                <w:rFonts w:hint="eastAsia"/>
                <w:color w:val="000000"/>
                <w:highlight w:val="none"/>
                <w:lang w:eastAsia="zh-CN"/>
              </w:rPr>
              <w:t>。</w:t>
            </w:r>
            <w:bookmarkStart w:id="8" w:name="_GoBack"/>
            <w:bookmarkEnd w:id="8"/>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本产品开放申购要素表为理财产品说明书不可分割的组成部分。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color w:val="000000"/>
          <w:kern w:val="0"/>
          <w:sz w:val="15"/>
          <w:szCs w:val="15"/>
        </w:rPr>
      </w:pPr>
      <w:r>
        <w:rPr>
          <w:rFonts w:hint="eastAsia" w:ascii="宋体" w:hAnsi="宋体" w:cs="宋体"/>
          <w:b/>
          <w:bCs/>
          <w:color w:val="000000"/>
          <w:kern w:val="0"/>
          <w:sz w:val="15"/>
          <w:szCs w:val="15"/>
          <w:lang w:val="en-US" w:eastAsia="zh-CN"/>
        </w:rPr>
        <w:t>4</w:t>
      </w:r>
      <w:r>
        <w:rPr>
          <w:rFonts w:hint="eastAsia" w:ascii="宋体" w:hAnsi="宋体" w:eastAsia="宋体" w:cs="宋体"/>
          <w:b/>
          <w:bCs/>
          <w:color w:val="000000"/>
          <w:kern w:val="0"/>
          <w:sz w:val="15"/>
          <w:szCs w:val="15"/>
        </w:rPr>
        <w:t>. 本产品为非保本</w:t>
      </w:r>
      <w:r>
        <w:rPr>
          <w:rFonts w:hint="eastAsia" w:ascii="宋体" w:hAnsi="宋体" w:cs="宋体"/>
          <w:b/>
          <w:bCs/>
          <w:color w:val="000000"/>
          <w:kern w:val="0"/>
          <w:sz w:val="15"/>
          <w:szCs w:val="15"/>
          <w:lang w:eastAsia="zh-CN"/>
        </w:rPr>
        <w:t>净值型</w:t>
      </w:r>
      <w:r>
        <w:rPr>
          <w:rFonts w:hint="eastAsia" w:ascii="宋体" w:hAnsi="宋体" w:eastAsia="宋体" w:cs="宋体"/>
          <w:b/>
          <w:bCs/>
          <w:color w:val="000000"/>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ascii="宋体" w:hAnsi="宋体" w:eastAsia="宋体" w:cs="宋体"/>
          <w:b/>
          <w:bCs/>
          <w:color w:val="000000"/>
          <w:kern w:val="0"/>
          <w:sz w:val="15"/>
          <w:szCs w:val="15"/>
        </w:rPr>
      </w:pPr>
      <w:r>
        <w:rPr>
          <w:rFonts w:hint="eastAsia" w:ascii="宋体" w:hAnsi="宋体" w:cs="宋体"/>
          <w:b w:val="0"/>
          <w:bCs w:val="0"/>
          <w:color w:val="000000"/>
          <w:kern w:val="0"/>
          <w:sz w:val="15"/>
          <w:szCs w:val="15"/>
          <w:lang w:val="en-US" w:eastAsia="zh-CN"/>
        </w:rPr>
        <w:t>5</w:t>
      </w:r>
      <w:r>
        <w:rPr>
          <w:rFonts w:hint="eastAsia" w:ascii="宋体" w:hAnsi="宋体" w:eastAsia="宋体" w:cs="宋体"/>
          <w:b w:val="0"/>
          <w:bCs w:val="0"/>
          <w:color w:val="000000"/>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color w:val="000000"/>
          <w:kern w:val="0"/>
          <w:sz w:val="15"/>
          <w:szCs w:val="15"/>
          <w:lang w:val="en-US" w:eastAsia="zh-CN"/>
        </w:rPr>
      </w:pPr>
      <w:r>
        <w:rPr>
          <w:rFonts w:hint="eastAsia" w:ascii="宋体" w:hAnsi="宋体" w:cs="宋体"/>
          <w:b/>
          <w:bCs/>
          <w:color w:val="000000"/>
          <w:kern w:val="0"/>
          <w:sz w:val="15"/>
          <w:szCs w:val="15"/>
          <w:lang w:val="en-US" w:eastAsia="zh-CN"/>
        </w:rPr>
        <w:t>6.该产品通过代理销售机构渠道销售的，理财产品评级应当以代理销售机构最终披露的评级结果为准。</w:t>
      </w: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jc w:val="center"/>
        <w:rPr>
          <w:rFonts w:ascii="Arial" w:hAnsi="Arial"/>
          <w:b/>
          <w:color w:val="000000"/>
        </w:rPr>
      </w:pPr>
    </w:p>
    <w:p>
      <w:pPr>
        <w:snapToGrid w:val="0"/>
        <w:spacing w:beforeLines="50" w:line="480" w:lineRule="exact"/>
        <w:rPr>
          <w:rFonts w:ascii="方正大标宋简体" w:hAnsi="宋体" w:eastAsia="方正大标宋简体"/>
          <w:b/>
          <w:color w:val="000000"/>
          <w:sz w:val="36"/>
        </w:rPr>
      </w:pPr>
    </w:p>
    <w:p>
      <w:pPr>
        <w:snapToGrid w:val="0"/>
        <w:spacing w:beforeLines="50" w:line="480" w:lineRule="exact"/>
        <w:rPr>
          <w:rFonts w:ascii="方正大标宋简体" w:hAnsi="宋体" w:eastAsia="方正大标宋简体"/>
          <w:b/>
          <w:color w:val="000000"/>
          <w:sz w:val="36"/>
        </w:rPr>
      </w:pPr>
      <w:r>
        <w:rPr>
          <w:rFonts w:ascii="Calibri" w:hAnsi="Calibri" w:eastAsia="宋体" w:cs="Times New Roman"/>
          <w:color w:val="000000"/>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color w:val="000000"/>
          <w:sz w:val="36"/>
        </w:rPr>
      </w:pPr>
    </w:p>
    <w:p>
      <w:pPr>
        <w:snapToGrid w:val="0"/>
        <w:spacing w:beforeLines="50" w:line="480" w:lineRule="exact"/>
        <w:jc w:val="center"/>
        <w:rPr>
          <w:rFonts w:ascii="方正大标宋简体" w:hAnsi="宋体" w:eastAsia="方正大标宋简体"/>
          <w:b/>
          <w:color w:val="000000"/>
          <w:sz w:val="36"/>
        </w:rPr>
      </w:pPr>
      <w:r>
        <w:rPr>
          <w:rFonts w:hint="eastAsia" w:ascii="方正大标宋简体" w:hAnsi="宋体" w:eastAsia="方正大标宋简体"/>
          <w:b/>
          <w:color w:val="000000"/>
          <w:sz w:val="36"/>
        </w:rPr>
        <w:t>常乐智享</w:t>
      </w:r>
      <w:r>
        <w:rPr>
          <w:rFonts w:hint="eastAsia" w:ascii="方正大标宋简体" w:hAnsi="宋体" w:eastAsia="方正大标宋简体"/>
          <w:b/>
          <w:color w:val="000000"/>
          <w:sz w:val="36"/>
          <w:u w:val="single"/>
        </w:rPr>
        <w:t>六个月A款</w:t>
      </w:r>
      <w:r>
        <w:rPr>
          <w:rFonts w:hint="eastAsia" w:ascii="方正大标宋简体" w:hAnsi="宋体" w:eastAsia="方正大标宋简体"/>
          <w:b/>
          <w:color w:val="000000"/>
          <w:sz w:val="36"/>
        </w:rPr>
        <w:t>净值型</w:t>
      </w:r>
      <w:r>
        <w:rPr>
          <w:rFonts w:hint="eastAsia" w:ascii="方正大标宋简体" w:hAnsi="宋体" w:eastAsia="方正大标宋简体"/>
          <w:b/>
          <w:color w:val="000000"/>
          <w:sz w:val="36"/>
          <w:szCs w:val="36"/>
        </w:rPr>
        <w:t>人民币</w:t>
      </w:r>
      <w:r>
        <w:rPr>
          <w:rFonts w:hint="eastAsia" w:ascii="方正大标宋简体" w:hAnsi="宋体" w:eastAsia="方正大标宋简体"/>
          <w:b/>
          <w:color w:val="000000"/>
          <w:sz w:val="36"/>
        </w:rPr>
        <w:t>理财产品说明书</w:t>
      </w:r>
    </w:p>
    <w:p>
      <w:pPr>
        <w:snapToGrid w:val="0"/>
        <w:spacing w:beforeLines="50" w:line="480" w:lineRule="exact"/>
        <w:jc w:val="center"/>
        <w:rPr>
          <w:rFonts w:ascii="方正大标宋简体" w:hAnsi="宋体" w:eastAsia="方正大标宋简体"/>
          <w:b/>
          <w:color w:val="000000"/>
        </w:rPr>
      </w:pPr>
    </w:p>
    <w:p>
      <w:pPr>
        <w:snapToGrid w:val="0"/>
        <w:spacing w:line="360" w:lineRule="atLeast"/>
        <w:ind w:firstLine="522" w:firstLineChars="200"/>
        <w:jc w:val="center"/>
        <w:rPr>
          <w:rFonts w:ascii="楷体_GB2312" w:eastAsia="楷体_GB2312"/>
          <w:b/>
          <w:color w:val="000000"/>
          <w:spacing w:val="-10"/>
          <w:kern w:val="0"/>
          <w:sz w:val="28"/>
        </w:rPr>
      </w:pPr>
      <w:r>
        <w:rPr>
          <w:rFonts w:hint="eastAsia" w:ascii="楷体_GB2312" w:eastAsia="楷体_GB2312"/>
          <w:b/>
          <w:color w:val="000000"/>
          <w:spacing w:val="-10"/>
          <w:kern w:val="0"/>
          <w:sz w:val="28"/>
        </w:rPr>
        <w:t>重要提示</w:t>
      </w:r>
    </w:p>
    <w:p>
      <w:pPr>
        <w:snapToGrid w:val="0"/>
        <w:spacing w:line="360" w:lineRule="exact"/>
        <w:rPr>
          <w:rFonts w:ascii="楷体_GB2312" w:eastAsia="楷体_GB2312"/>
          <w:color w:val="000000"/>
          <w:szCs w:val="21"/>
        </w:rPr>
      </w:pPr>
      <w:r>
        <w:rPr>
          <w:rFonts w:hint="eastAsia" w:ascii="楷体_GB2312" w:eastAsia="楷体_GB2312"/>
          <w:color w:val="000000"/>
          <w:szCs w:val="21"/>
        </w:rPr>
        <w:t>尊敬的投资者：</w:t>
      </w:r>
    </w:p>
    <w:p>
      <w:pPr>
        <w:snapToGrid w:val="0"/>
        <w:spacing w:line="360" w:lineRule="exact"/>
        <w:ind w:firstLine="420" w:firstLineChars="200"/>
        <w:rPr>
          <w:rFonts w:ascii="楷体_GB2312" w:eastAsia="楷体_GB2312"/>
          <w:b/>
          <w:bCs/>
          <w:color w:val="000000"/>
          <w:szCs w:val="21"/>
        </w:rPr>
      </w:pPr>
      <w:r>
        <w:rPr>
          <w:rFonts w:hint="eastAsia" w:ascii="楷体_GB2312" w:eastAsia="楷体_GB2312"/>
          <w:color w:val="000000"/>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color w:val="000000"/>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本产品说明书与《</w:t>
      </w:r>
      <w:r>
        <w:rPr>
          <w:rFonts w:ascii="楷体_GB2312" w:eastAsia="楷体_GB2312"/>
          <w:b/>
          <w:color w:val="000000"/>
          <w:szCs w:val="21"/>
        </w:rPr>
        <w:t>风险</w:t>
      </w:r>
      <w:r>
        <w:rPr>
          <w:rFonts w:hint="eastAsia" w:ascii="楷体_GB2312" w:eastAsia="楷体_GB2312"/>
          <w:b/>
          <w:color w:val="000000"/>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color w:val="000000"/>
          <w:szCs w:val="21"/>
        </w:rPr>
        <w:t>理财产品的投资方向、风险类型及业绩比较基准（如有）等，</w:t>
      </w:r>
      <w:r>
        <w:rPr>
          <w:rFonts w:hint="eastAsia" w:ascii="楷体_GB2312" w:eastAsia="楷体_GB2312"/>
          <w:b/>
          <w:color w:val="000000"/>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color w:val="000000"/>
          <w:szCs w:val="21"/>
        </w:rPr>
      </w:pPr>
      <w:r>
        <w:rPr>
          <w:rFonts w:hint="eastAsia" w:ascii="楷体_GB2312" w:eastAsia="楷体_GB2312"/>
          <w:b/>
          <w:color w:val="000000"/>
          <w:szCs w:val="21"/>
        </w:rPr>
        <w:t>常熟农商银行有权依法对本产品说明书进行解释。</w:t>
      </w:r>
    </w:p>
    <w:p>
      <w:pPr>
        <w:snapToGrid w:val="0"/>
        <w:spacing w:line="360" w:lineRule="atLeast"/>
        <w:ind w:firstLine="420" w:firstLineChars="200"/>
        <w:rPr>
          <w:rFonts w:ascii="楷体_GB2312" w:eastAsia="楷体_GB2312"/>
          <w:color w:val="000000"/>
        </w:rPr>
      </w:pPr>
    </w:p>
    <w:p>
      <w:pPr>
        <w:spacing w:line="360" w:lineRule="atLeast"/>
        <w:jc w:val="center"/>
        <w:rPr>
          <w:rFonts w:ascii="楷体_GB2312" w:hAnsi="Times New Roman" w:eastAsia="楷体_GB2312"/>
          <w:b/>
          <w:color w:val="000000"/>
          <w:sz w:val="28"/>
        </w:rPr>
      </w:pPr>
      <w:r>
        <w:rPr>
          <w:rFonts w:hint="eastAsia" w:ascii="楷体_GB2312" w:hAnsi="Times New Roman" w:eastAsia="楷体_GB2312"/>
          <w:b/>
          <w:color w:val="000000"/>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产品名称</w:t>
            </w:r>
          </w:p>
        </w:tc>
        <w:tc>
          <w:tcPr>
            <w:tcW w:w="6466" w:type="dxa"/>
            <w:vAlign w:val="top"/>
          </w:tcPr>
          <w:p>
            <w:pPr>
              <w:spacing w:line="360" w:lineRule="exact"/>
              <w:rPr>
                <w:color w:val="000000"/>
              </w:rPr>
            </w:pPr>
            <w:r>
              <w:rPr>
                <w:rFonts w:hint="eastAsia" w:eastAsia="楷体_GB2312"/>
                <w:color w:val="000000"/>
              </w:rPr>
              <w:t>常乐智享</w:t>
            </w:r>
            <w:r>
              <w:rPr>
                <w:rFonts w:hint="eastAsia" w:eastAsia="楷体_GB2312"/>
                <w:color w:val="000000"/>
                <w:u w:val="single"/>
              </w:rPr>
              <w:t>六个月A款</w:t>
            </w:r>
            <w:r>
              <w:rPr>
                <w:rFonts w:hint="eastAsia" w:eastAsia="楷体_GB2312"/>
                <w:color w:val="000000"/>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理财信息登记系统产品编码</w:t>
            </w:r>
          </w:p>
        </w:tc>
        <w:tc>
          <w:tcPr>
            <w:tcW w:w="6466" w:type="dxa"/>
            <w:vAlign w:val="top"/>
          </w:tcPr>
          <w:p>
            <w:pPr>
              <w:spacing w:line="360" w:lineRule="exact"/>
              <w:rPr>
                <w:rFonts w:ascii="TimesNewRomanPSMT" w:hAnsi="Times New Roman" w:eastAsia="TimesNewRomanPSMT" w:cs="TimesNewRomanPSMT"/>
                <w:color w:val="000000"/>
                <w:kern w:val="0"/>
                <w:szCs w:val="21"/>
                <w:u w:val="single"/>
              </w:rPr>
            </w:pPr>
            <w:r>
              <w:rPr>
                <w:rFonts w:ascii="TimesNewRomanPSMT" w:hAnsi="Times New Roman" w:eastAsia="TimesNewRomanPSMT" w:cs="TimesNewRomanPSMT"/>
                <w:color w:val="000000"/>
                <w:kern w:val="0"/>
                <w:szCs w:val="21"/>
                <w:u w:val="single"/>
              </w:rPr>
              <w:t>C</w:t>
            </w:r>
            <w:r>
              <w:rPr>
                <w:rFonts w:hint="eastAsia" w:ascii="TimesNewRomanPSMT" w:hAnsi="Times New Roman" w:eastAsia="TimesNewRomanPSMT" w:cs="TimesNewRomanPSMT"/>
                <w:color w:val="000000"/>
                <w:kern w:val="0"/>
                <w:szCs w:val="21"/>
                <w:u w:val="single"/>
              </w:rPr>
              <w:t>1115421000005</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投资者可依据该登记编码在中国理财网（</w:t>
            </w:r>
            <w:r>
              <w:rPr>
                <w:rFonts w:ascii="Times New Roman" w:hAnsi="Times New Roman" w:eastAsia="楷体_GB2312"/>
                <w:color w:val="000000"/>
              </w:rPr>
              <w:t>www.chinawealth.com.cn</w:t>
            </w:r>
            <w:r>
              <w:rPr>
                <w:rFonts w:hint="eastAsia" w:ascii="Times New Roman" w:hAnsi="Times New Roman" w:eastAsia="楷体_GB2312"/>
                <w:color w:val="000000"/>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产品编号</w:t>
            </w:r>
          </w:p>
        </w:tc>
        <w:tc>
          <w:tcPr>
            <w:tcW w:w="6466" w:type="dxa"/>
            <w:vAlign w:val="top"/>
          </w:tcPr>
          <w:p>
            <w:pPr>
              <w:spacing w:line="360" w:lineRule="exact"/>
              <w:rPr>
                <w:rFonts w:ascii="Times New Roman" w:hAnsi="Times New Roman" w:eastAsia="楷体_GB2312"/>
                <w:color w:val="000000"/>
              </w:rPr>
            </w:pPr>
            <w:r>
              <w:rPr>
                <w:rFonts w:eastAsia="楷体_GB2312"/>
                <w:color w:val="000000"/>
              </w:rPr>
              <w:t>CLZX</w:t>
            </w:r>
            <w:r>
              <w:rPr>
                <w:rFonts w:hint="eastAsia" w:eastAsia="楷体_GB2312"/>
                <w:color w:val="000000"/>
              </w:rPr>
              <w:t>A</w:t>
            </w:r>
            <w:r>
              <w:rPr>
                <w:rFonts w:eastAsia="楷体_GB2312"/>
                <w:color w:val="000000"/>
              </w:rPr>
              <w:t>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产品类型</w:t>
            </w:r>
          </w:p>
        </w:tc>
        <w:tc>
          <w:tcPr>
            <w:tcW w:w="6466" w:type="dxa"/>
            <w:vAlign w:val="top"/>
          </w:tcPr>
          <w:p>
            <w:pPr>
              <w:spacing w:line="360" w:lineRule="exact"/>
              <w:rPr>
                <w:rFonts w:ascii="Times New Roman" w:hAnsi="Times New Roman" w:eastAsia="楷体_GB2312"/>
                <w:color w:val="000000"/>
              </w:rPr>
            </w:pPr>
            <w:r>
              <w:rPr>
                <w:rFonts w:hint="eastAsia" w:ascii="楷体_GB2312" w:hAnsi="Times New Roman" w:eastAsia="楷体_GB2312"/>
                <w:b/>
                <w:bCs/>
                <w:color w:val="000000"/>
              </w:rPr>
              <w:t>固定收益类</w:t>
            </w:r>
            <w:r>
              <w:rPr>
                <w:rFonts w:ascii="楷体_GB2312" w:hAnsi="Times New Roman" w:eastAsia="楷体_GB2312"/>
                <w:b/>
                <w:bCs/>
                <w:color w:val="000000"/>
              </w:rPr>
              <w:t>,</w:t>
            </w:r>
            <w:r>
              <w:rPr>
                <w:rFonts w:hint="eastAsia" w:ascii="楷体_GB2312" w:hAnsi="Times New Roman" w:eastAsia="楷体_GB2312"/>
                <w:b/>
                <w:bCs/>
                <w:color w:val="000000"/>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发行方式</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发行人</w:t>
            </w:r>
            <w:r>
              <w:rPr>
                <w:rFonts w:ascii="楷体_GB2312" w:hAnsi="Times New Roman" w:eastAsia="楷体_GB2312"/>
                <w:b/>
                <w:color w:val="000000"/>
              </w:rPr>
              <w:t>/</w:t>
            </w:r>
            <w:r>
              <w:rPr>
                <w:rFonts w:hint="eastAsia" w:ascii="楷体_GB2312" w:hAnsi="Times New Roman" w:eastAsia="楷体_GB2312"/>
                <w:b/>
                <w:color w:val="000000"/>
              </w:rPr>
              <w:t>管理人</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托管人</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Times New Roman" w:hAnsi="Times New Roman" w:eastAsia="楷体_GB2312"/>
                <w:b/>
                <w:color w:val="000000"/>
              </w:rPr>
              <w:t>募集币种</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单位份额面值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color w:val="000000"/>
              </w:rPr>
            </w:pPr>
            <w:r>
              <w:rPr>
                <w:rFonts w:hint="eastAsia" w:ascii="楷体_GB2312" w:hAnsi="Times New Roman" w:eastAsia="楷体_GB2312"/>
                <w:b/>
                <w:color w:val="000000"/>
              </w:rPr>
              <w:t>发行价格</w:t>
            </w:r>
          </w:p>
        </w:tc>
        <w:tc>
          <w:tcPr>
            <w:tcW w:w="6466" w:type="dxa"/>
            <w:vAlign w:val="top"/>
          </w:tcPr>
          <w:p>
            <w:pPr>
              <w:rPr>
                <w:rFonts w:ascii="Times New Roman"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元</w:t>
            </w:r>
            <w:r>
              <w:rPr>
                <w:rFonts w:ascii="楷体_GB2312" w:hAnsi="Times New Roman" w:eastAsia="楷体_GB2312"/>
                <w:color w:val="000000"/>
              </w:rPr>
              <w:t>/</w:t>
            </w:r>
            <w:r>
              <w:rPr>
                <w:rFonts w:hint="eastAsia" w:ascii="楷体_GB2312" w:hAnsi="Times New Roman" w:eastAsia="楷体_GB2312"/>
                <w:color w:val="000000"/>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业绩比较基准（</w:t>
            </w:r>
            <w:r>
              <w:rPr>
                <w:rFonts w:hint="eastAsia" w:ascii="楷体_GB2312" w:hAnsi="Times New Roman" w:eastAsia="楷体_GB2312"/>
                <w:b/>
                <w:color w:val="000000"/>
                <w:lang w:eastAsia="zh-CN"/>
              </w:rPr>
              <w:t>年化</w:t>
            </w:r>
            <w:r>
              <w:rPr>
                <w:rFonts w:hint="eastAsia" w:ascii="楷体_GB2312" w:hAnsi="Times New Roman" w:eastAsia="楷体_GB2312"/>
                <w:b/>
                <w:color w:val="000000"/>
              </w:rPr>
              <w:t>）</w:t>
            </w:r>
          </w:p>
        </w:tc>
        <w:tc>
          <w:tcPr>
            <w:tcW w:w="6466" w:type="dxa"/>
            <w:vAlign w:val="top"/>
          </w:tcPr>
          <w:p>
            <w:pPr>
              <w:spacing w:beforeLines="0" w:afterLines="0" w:line="360" w:lineRule="exact"/>
              <w:rPr>
                <w:rFonts w:ascii="宋体" w:hAnsi="宋体"/>
                <w:b/>
                <w:bCs/>
                <w:color w:val="000000"/>
                <w:sz w:val="18"/>
                <w:szCs w:val="18"/>
              </w:rPr>
            </w:pPr>
            <w:r>
              <w:rPr>
                <w:rFonts w:hint="eastAsia" w:eastAsia="楷体_GB2312"/>
                <w:color w:val="000000"/>
              </w:rPr>
              <w:t>认购期及开放期内业绩比较基准详见常熟农商银行发布的公告。</w:t>
            </w:r>
          </w:p>
          <w:p>
            <w:pPr>
              <w:spacing w:beforeLines="0" w:afterLines="0" w:line="360" w:lineRule="exact"/>
              <w:rPr>
                <w:rFonts w:ascii="Times New Roman" w:hAnsi="Times New Roman" w:eastAsia="楷体_GB2312"/>
                <w:b/>
                <w:bCs/>
                <w:color w:val="000000"/>
                <w:highlight w:val="none"/>
              </w:rPr>
            </w:pPr>
            <w:r>
              <w:rPr>
                <w:rFonts w:ascii="Times New Roman" w:hAnsi="Times New Roman" w:eastAsia="楷体_GB2312"/>
                <w:b/>
                <w:bCs/>
                <w:color w:val="000000"/>
              </w:rPr>
              <w:t>业绩比较基准的说明：</w:t>
            </w:r>
            <w:r>
              <w:rPr>
                <w:rFonts w:hint="eastAsia" w:ascii="楷体" w:hAnsi="楷体" w:eastAsia="楷体" w:cs="楷体"/>
                <w:color w:val="000000"/>
                <w:highlight w:val="none"/>
                <w:lang w:eastAsia="zh-CN"/>
              </w:rPr>
              <w:t>本产品拟投资资产的比例</w:t>
            </w:r>
            <w:r>
              <w:rPr>
                <w:rFonts w:hint="eastAsia" w:ascii="楷体_GB2312" w:hAnsi="Times New Roman" w:eastAsia="楷体_GB2312"/>
                <w:color w:val="000000"/>
                <w:highlight w:val="none"/>
              </w:rPr>
              <w:t>为存款、货币基金等现金类资产</w:t>
            </w:r>
            <w:r>
              <w:rPr>
                <w:rFonts w:hint="eastAsia" w:ascii="楷体_GB2312" w:hAnsi="Times New Roman" w:eastAsia="楷体_GB2312"/>
                <w:b/>
                <w:bCs/>
                <w:color w:val="000000"/>
                <w:highlight w:val="none"/>
              </w:rPr>
              <w:t xml:space="preserve"> </w:t>
            </w:r>
            <w:r>
              <w:rPr>
                <w:rFonts w:hint="eastAsia" w:ascii="楷体_GB2312" w:hAnsi="Times New Roman" w:eastAsia="楷体_GB2312"/>
                <w:b w:val="0"/>
                <w:bCs w:val="0"/>
                <w:color w:val="000000"/>
                <w:highlight w:val="none"/>
              </w:rPr>
              <w:t>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val="0"/>
                <w:bCs w:val="0"/>
                <w:color w:val="000000"/>
                <w:highlight w:val="none"/>
              </w:rPr>
              <w:t>3</w:t>
            </w:r>
            <w:r>
              <w:rPr>
                <w:rFonts w:hint="eastAsia" w:ascii="楷体_GB2312" w:hAnsi="Times New Roman" w:eastAsia="楷体_GB2312"/>
                <w:b w:val="0"/>
                <w:bCs w:val="0"/>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val="0"/>
                <w:bCs w:val="0"/>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val="0"/>
                <w:bCs w:val="0"/>
                <w:color w:val="000000"/>
                <w:highlight w:val="none"/>
              </w:rPr>
              <w:t>0-20%</w:t>
            </w:r>
            <w:r>
              <w:rPr>
                <w:rFonts w:hint="eastAsia" w:ascii="楷体" w:hAnsi="楷体" w:eastAsia="楷体" w:cs="楷体"/>
                <w:color w:val="000000"/>
                <w:highlight w:val="none"/>
                <w:lang w:eastAsia="zh-CN"/>
              </w:rPr>
              <w:t>，杠杆率不超</w:t>
            </w:r>
            <w:r>
              <w:rPr>
                <w:rFonts w:hint="eastAsia" w:ascii="楷体" w:hAnsi="楷体" w:eastAsia="楷体" w:cs="楷体"/>
                <w:color w:val="000000"/>
                <w:highlight w:val="none"/>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业绩比较基准测算仅供参考，具体投资比例可根据各类资产的收益水平、流动性特征、信用风险等因素动态调整，投资范围、投资策略详见以下“产品的投资范围和投资策略”）</w:t>
            </w:r>
          </w:p>
          <w:p>
            <w:pPr>
              <w:rPr>
                <w:rFonts w:ascii="Times New Roman" w:hAnsi="Times New Roman" w:eastAsia="楷体_GB2312"/>
                <w:color w:val="000000"/>
              </w:rPr>
            </w:pPr>
            <w:r>
              <w:rPr>
                <w:rFonts w:hint="eastAsia" w:ascii="Times New Roman" w:hAnsi="Times New Roman" w:eastAsia="楷体_GB2312"/>
                <w:b/>
                <w:bCs/>
                <w:color w:val="000000"/>
              </w:rPr>
              <w:t>本产品为净值型产品，其业绩表现将随市场波动，具有不确定性</w:t>
            </w:r>
            <w:r>
              <w:rPr>
                <w:rFonts w:hint="eastAsia" w:ascii="Times New Roman" w:hAnsi="Times New Roman" w:eastAsia="楷体_GB2312"/>
                <w:b/>
                <w:bCs/>
                <w:color w:val="000000"/>
                <w:lang w:eastAsia="zh-CN"/>
              </w:rPr>
              <w:t>。</w:t>
            </w:r>
            <w:r>
              <w:rPr>
                <w:rFonts w:hint="eastAsia" w:ascii="Times New Roman" w:hAnsi="Times New Roman" w:eastAsia="楷体_GB2312" w:cs="Times New Roman"/>
                <w:b/>
                <w:bCs/>
                <w:color w:val="000000"/>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color w:val="000000"/>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产品内部风险评级</w:t>
            </w:r>
          </w:p>
        </w:tc>
        <w:tc>
          <w:tcPr>
            <w:tcW w:w="6466" w:type="dxa"/>
            <w:vAlign w:val="top"/>
          </w:tcPr>
          <w:p>
            <w:pPr>
              <w:spacing w:line="360" w:lineRule="exact"/>
              <w:rPr>
                <w:rFonts w:ascii="Times New Roman" w:hAnsi="Times New Roman" w:eastAsia="楷体_GB2312"/>
                <w:color w:val="000000"/>
              </w:rPr>
            </w:pPr>
            <w:r>
              <w:rPr>
                <w:rFonts w:hint="eastAsia" w:ascii="楷体_GB2312" w:eastAsia="楷体_GB2312"/>
                <w:b/>
                <w:bCs/>
                <w:color w:val="000000"/>
              </w:rPr>
              <w:t>二级</w:t>
            </w:r>
            <w:r>
              <w:rPr>
                <w:rFonts w:hint="eastAsia" w:ascii="楷体_GB2312" w:eastAsia="楷体_GB2312"/>
                <w:color w:val="000000"/>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募集对象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经常熟农商银行风险承受能力评估为</w:t>
            </w:r>
            <w:r>
              <w:rPr>
                <w:rFonts w:hint="eastAsia" w:eastAsia="楷体_GB2312"/>
                <w:b/>
                <w:color w:val="000000"/>
              </w:rPr>
              <w:t>谨慎型、</w:t>
            </w:r>
            <w:r>
              <w:rPr>
                <w:rFonts w:hint="eastAsia" w:eastAsia="楷体_GB2312"/>
                <w:b/>
                <w:bCs/>
                <w:color w:val="000000"/>
              </w:rPr>
              <w:t>稳健型、进取型、积极进取型的个人及机构投资者</w:t>
            </w:r>
            <w:r>
              <w:rPr>
                <w:rFonts w:hint="eastAsia"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募集规模</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w:t>
            </w:r>
          </w:p>
        </w:tc>
        <w:tc>
          <w:tcPr>
            <w:tcW w:w="6466" w:type="dxa"/>
            <w:vAlign w:val="top"/>
          </w:tcPr>
          <w:p>
            <w:pPr>
              <w:spacing w:line="360" w:lineRule="exact"/>
              <w:rPr>
                <w:rFonts w:eastAsia="楷体_GB2312"/>
                <w:color w:val="000000"/>
              </w:rPr>
            </w:pPr>
            <w:r>
              <w:rPr>
                <w:rFonts w:hint="eastAsia" w:eastAsia="楷体_GB2312"/>
                <w:b/>
                <w:color w:val="000000"/>
                <w:szCs w:val="21"/>
                <w:u w:val="single"/>
              </w:rPr>
              <w:t>2021年1月27日</w:t>
            </w:r>
            <w:r>
              <w:rPr>
                <w:rFonts w:hint="eastAsia" w:eastAsia="楷体_GB2312"/>
                <w:b/>
                <w:color w:val="000000"/>
                <w:u w:val="single"/>
              </w:rPr>
              <w:t>8:30至</w:t>
            </w:r>
            <w:r>
              <w:rPr>
                <w:rFonts w:hint="eastAsia" w:eastAsia="楷体_GB2312"/>
                <w:b/>
                <w:color w:val="000000"/>
                <w:szCs w:val="21"/>
                <w:u w:val="single"/>
              </w:rPr>
              <w:t>2021年2月2日</w:t>
            </w:r>
            <w:r>
              <w:rPr>
                <w:rFonts w:hint="eastAsia" w:eastAsia="楷体_GB2312"/>
                <w:b/>
                <w:color w:val="000000"/>
                <w:u w:val="single"/>
              </w:rPr>
              <w:t>20:30</w:t>
            </w:r>
            <w:r>
              <w:rPr>
                <w:rFonts w:hint="eastAsia" w:eastAsia="楷体_GB2312"/>
                <w:color w:val="000000"/>
              </w:rPr>
              <w:t>（以银行系统时间为准）</w:t>
            </w:r>
          </w:p>
          <w:p>
            <w:pPr>
              <w:spacing w:line="360" w:lineRule="exact"/>
              <w:rPr>
                <w:rFonts w:eastAsia="楷体_GB2312"/>
                <w:color w:val="000000"/>
              </w:rPr>
            </w:pPr>
            <w:r>
              <w:rPr>
                <w:rFonts w:hint="eastAsia" w:eastAsia="楷体_GB2312"/>
                <w:color w:val="000000"/>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color w:val="000000"/>
              </w:rPr>
            </w:pPr>
            <w:r>
              <w:rPr>
                <w:rFonts w:hint="eastAsia" w:eastAsia="楷体_GB2312"/>
                <w:color w:val="000000"/>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认购资金扣划</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募集期的利息计算</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份额登记日</w:t>
            </w:r>
            <w:r>
              <w:rPr>
                <w:rFonts w:ascii="Times New Roman" w:hAnsi="Times New Roman" w:eastAsia="楷体_GB2312"/>
                <w:b/>
                <w:color w:val="000000"/>
              </w:rPr>
              <w:t>/</w:t>
            </w:r>
            <w:r>
              <w:rPr>
                <w:rFonts w:hint="eastAsia" w:ascii="Times New Roman" w:hAnsi="Times New Roman" w:eastAsia="楷体_GB2312"/>
                <w:b/>
                <w:color w:val="000000"/>
              </w:rPr>
              <w:t>产品成立日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21年2月3日</w:t>
            </w:r>
            <w:r>
              <w:rPr>
                <w:rFonts w:hint="eastAsia" w:ascii="Times New Roman" w:hAnsi="Times New Roman" w:eastAsia="楷体_GB2312"/>
                <w:b/>
                <w:bCs/>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到期日</w:t>
            </w:r>
          </w:p>
        </w:tc>
        <w:tc>
          <w:tcPr>
            <w:tcW w:w="6466" w:type="dxa"/>
            <w:vAlign w:val="top"/>
          </w:tcPr>
          <w:p>
            <w:pPr>
              <w:spacing w:line="360" w:lineRule="exact"/>
              <w:rPr>
                <w:rFonts w:ascii="Times New Roman" w:hAnsi="Times New Roman" w:eastAsia="楷体_GB2312"/>
                <w:color w:val="000000"/>
              </w:rPr>
            </w:pPr>
            <w:r>
              <w:rPr>
                <w:rFonts w:eastAsia="楷体_GB2312"/>
                <w:b/>
                <w:bCs/>
                <w:color w:val="000000"/>
                <w:u w:val="single"/>
              </w:rPr>
              <w:t>20</w:t>
            </w:r>
            <w:r>
              <w:rPr>
                <w:rFonts w:hint="eastAsia" w:eastAsia="楷体_GB2312"/>
                <w:b/>
                <w:bCs/>
                <w:color w:val="000000"/>
                <w:u w:val="single"/>
              </w:rPr>
              <w:t>41年2月3日</w:t>
            </w:r>
            <w:r>
              <w:rPr>
                <w:rFonts w:hint="eastAsia" w:ascii="Times New Roman" w:hAnsi="Times New Roman" w:eastAsia="楷体_GB2312"/>
                <w:color w:val="000000"/>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到期兑付日</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本产品本金与收益（如有）将于产品到期日或提前终止日后一次性支付，最迟于产品清算完成后两个工作日内到账。</w:t>
            </w:r>
          </w:p>
          <w:p>
            <w:pPr>
              <w:rPr>
                <w:rFonts w:ascii="Times New Roman" w:hAnsi="Times New Roman" w:eastAsia="楷体_GB2312"/>
                <w:color w:val="000000"/>
              </w:rPr>
            </w:pPr>
            <w:r>
              <w:rPr>
                <w:rFonts w:hint="eastAsia" w:ascii="Times New Roman" w:hAnsi="Times New Roman" w:eastAsia="楷体_GB2312"/>
                <w:color w:val="000000"/>
              </w:rPr>
              <w:t>产品到期日</w:t>
            </w:r>
            <w:r>
              <w:rPr>
                <w:rFonts w:ascii="Times New Roman" w:hAnsi="Times New Roman" w:eastAsia="楷体_GB2312"/>
                <w:color w:val="000000"/>
              </w:rPr>
              <w:t>/</w:t>
            </w:r>
            <w:r>
              <w:rPr>
                <w:rFonts w:hint="eastAsia" w:ascii="Times New Roman" w:hAnsi="Times New Roman" w:eastAsia="楷体_GB2312"/>
                <w:color w:val="000000"/>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申购</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w:t>
            </w:r>
            <w:r>
              <w:rPr>
                <w:rFonts w:ascii="Times New Roman" w:hAnsi="Times New Roman" w:eastAsia="楷体_GB2312"/>
                <w:b/>
                <w:color w:val="000000"/>
              </w:rPr>
              <w:t>/</w:t>
            </w:r>
            <w:r>
              <w:rPr>
                <w:rFonts w:hint="eastAsia" w:ascii="Times New Roman" w:hAnsi="Times New Roman" w:eastAsia="楷体_GB2312"/>
                <w:b/>
                <w:color w:val="000000"/>
              </w:rPr>
              <w:t>申购起点金额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10,000.00</w:t>
            </w:r>
            <w:r>
              <w:rPr>
                <w:rFonts w:hint="eastAsia" w:ascii="Times New Roman" w:hAnsi="Times New Roman" w:eastAsia="楷体_GB2312"/>
                <w:color w:val="000000"/>
              </w:rPr>
              <w:t>元；超出认购</w:t>
            </w:r>
            <w:r>
              <w:rPr>
                <w:rFonts w:ascii="Times New Roman" w:hAnsi="Times New Roman" w:eastAsia="楷体_GB2312"/>
                <w:color w:val="000000"/>
              </w:rPr>
              <w:t>/</w:t>
            </w:r>
            <w:r>
              <w:rPr>
                <w:rFonts w:hint="eastAsia" w:ascii="Times New Roman" w:hAnsi="Times New Roman" w:eastAsia="楷体_GB2312"/>
                <w:color w:val="000000"/>
              </w:rPr>
              <w:t>申购起点部分须为人民币</w:t>
            </w:r>
            <w:r>
              <w:rPr>
                <w:rFonts w:ascii="Times New Roman" w:hAnsi="Times New Roman" w:eastAsia="楷体_GB2312"/>
                <w:color w:val="000000"/>
                <w:u w:val="single"/>
              </w:rPr>
              <w:t>1000.00</w:t>
            </w:r>
            <w:r>
              <w:rPr>
                <w:rFonts w:hint="eastAsia" w:ascii="Times New Roman" w:hAnsi="Times New Roman" w:eastAsia="楷体_GB2312"/>
                <w:color w:val="000000"/>
              </w:rPr>
              <w:t>元或</w:t>
            </w:r>
            <w:r>
              <w:rPr>
                <w:rFonts w:ascii="Times New Roman" w:hAnsi="Times New Roman" w:eastAsia="楷体_GB2312"/>
                <w:color w:val="000000"/>
                <w:u w:val="single"/>
              </w:rPr>
              <w:t>1000.00</w:t>
            </w:r>
            <w:r>
              <w:rPr>
                <w:rFonts w:hint="eastAsia" w:ascii="Times New Roman" w:hAnsi="Times New Roman" w:eastAsia="楷体_GB2312"/>
                <w:color w:val="000000"/>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追加购买最低金额</w:t>
            </w:r>
          </w:p>
        </w:tc>
        <w:tc>
          <w:tcPr>
            <w:tcW w:w="6466" w:type="dxa"/>
            <w:vAlign w:val="top"/>
          </w:tcPr>
          <w:p>
            <w:pPr>
              <w:rPr>
                <w:rFonts w:eastAsia="楷体_GB2312"/>
                <w:bCs/>
                <w:color w:val="000000"/>
                <w:szCs w:val="21"/>
              </w:rPr>
            </w:pPr>
            <w:r>
              <w:rPr>
                <w:rFonts w:ascii="Times New Roman" w:hAnsi="Times New Roman" w:eastAsia="楷体_GB2312"/>
                <w:color w:val="000000"/>
                <w:u w:val="single"/>
              </w:rPr>
              <w:t>1000</w:t>
            </w:r>
            <w:r>
              <w:rPr>
                <w:rFonts w:hint="eastAsia" w:ascii="Times New Roman" w:hAnsi="Times New Roman" w:eastAsia="楷体_GB2312"/>
                <w:color w:val="000000"/>
              </w:rPr>
              <w:t>元，以</w:t>
            </w:r>
            <w:r>
              <w:rPr>
                <w:rFonts w:ascii="Times New Roman" w:hAnsi="Times New Roman" w:eastAsia="楷体_GB2312"/>
                <w:color w:val="000000"/>
                <w:u w:val="single"/>
              </w:rPr>
              <w:t>1000</w:t>
            </w:r>
            <w:r>
              <w:rPr>
                <w:rFonts w:hint="eastAsia" w:ascii="Times New Roman" w:hAnsi="Times New Roman" w:eastAsia="楷体_GB2312"/>
                <w:color w:val="000000"/>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单一投资者最大认购/申购金额</w:t>
            </w:r>
          </w:p>
        </w:tc>
        <w:tc>
          <w:tcPr>
            <w:tcW w:w="6466" w:type="dxa"/>
            <w:vAlign w:val="top"/>
          </w:tcPr>
          <w:p>
            <w:pPr>
              <w:rPr>
                <w:rFonts w:ascii="Times New Roman" w:hAnsi="Times New Roman" w:eastAsia="楷体_GB2312"/>
                <w:color w:val="000000"/>
                <w:u w:val="single"/>
              </w:rPr>
            </w:pPr>
            <w:r>
              <w:rPr>
                <w:rFonts w:hint="eastAsia" w:ascii="Times New Roman" w:hAnsi="Times New Roman" w:eastAsia="楷体_GB2312"/>
                <w:color w:val="000000"/>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color w:val="000000"/>
              </w:rPr>
            </w:pPr>
            <w:r>
              <w:rPr>
                <w:rFonts w:hint="eastAsia" w:ascii="Times New Roman" w:hAnsi="Times New Roman" w:eastAsia="楷体_GB2312"/>
                <w:b/>
                <w:color w:val="000000"/>
              </w:rPr>
              <w:t>认购份额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color w:val="000000"/>
              </w:rPr>
              <w:t>认购份额＝认购金额</w:t>
            </w:r>
            <w:r>
              <w:rPr>
                <w:rFonts w:ascii="Times New Roman" w:hAnsi="Times New Roman" w:eastAsia="楷体_GB2312"/>
                <w:color w:val="000000"/>
              </w:rPr>
              <w:t>/1</w:t>
            </w:r>
            <w:r>
              <w:rPr>
                <w:rFonts w:hint="eastAsia" w:ascii="Times New Roman" w:hAnsi="Times New Roman" w:eastAsia="楷体_GB2312"/>
                <w:color w:val="000000"/>
              </w:rPr>
              <w:t>元</w:t>
            </w:r>
          </w:p>
          <w:p>
            <w:pPr>
              <w:rPr>
                <w:rFonts w:eastAsia="楷体_GB2312"/>
                <w:bCs/>
                <w:color w:val="000000"/>
                <w:szCs w:val="21"/>
              </w:rPr>
            </w:pPr>
            <w:r>
              <w:rPr>
                <w:rFonts w:hint="eastAsia" w:ascii="Times New Roman" w:hAnsi="Times New Roman" w:eastAsia="楷体_GB2312"/>
                <w:color w:val="000000"/>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rPr>
              <w:t>申购份额</w:t>
            </w:r>
          </w:p>
        </w:tc>
        <w:tc>
          <w:tcPr>
            <w:tcW w:w="6466" w:type="dxa"/>
            <w:vAlign w:val="top"/>
          </w:tcPr>
          <w:p>
            <w:pPr>
              <w:rPr>
                <w:rFonts w:ascii="Times New Roman" w:hAnsi="Times New Roman" w:eastAsia="楷体_GB2312"/>
                <w:color w:val="000000"/>
              </w:rPr>
            </w:pPr>
            <w:r>
              <w:rPr>
                <w:rFonts w:hint="eastAsia" w:eastAsia="楷体_GB2312"/>
                <w:color w:val="000000"/>
              </w:rPr>
              <w:t>申购金额</w:t>
            </w:r>
            <w:r>
              <w:rPr>
                <w:rFonts w:eastAsia="楷体_GB2312"/>
                <w:color w:val="000000"/>
              </w:rPr>
              <w:t>/</w:t>
            </w:r>
            <w:r>
              <w:rPr>
                <w:rFonts w:hint="eastAsia" w:eastAsia="楷体_GB2312"/>
                <w:color w:val="000000"/>
              </w:rPr>
              <w:t>申购结束日</w:t>
            </w:r>
            <w:r>
              <w:rPr>
                <w:rFonts w:hint="eastAsia" w:ascii="Times New Roman" w:hAnsi="Times New Roman" w:eastAsia="楷体_GB2312"/>
                <w:color w:val="000000"/>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eastAsia="楷体_GB2312"/>
                <w:b/>
                <w:color w:val="000000"/>
              </w:rPr>
              <w:t>赎回规定</w:t>
            </w:r>
          </w:p>
        </w:tc>
        <w:tc>
          <w:tcPr>
            <w:tcW w:w="6466" w:type="dxa"/>
            <w:vAlign w:val="top"/>
          </w:tcPr>
          <w:p>
            <w:pPr>
              <w:rPr>
                <w:rFonts w:ascii="楷体_GB2312" w:eastAsia="楷体_GB2312"/>
                <w:color w:val="000000"/>
              </w:rPr>
            </w:pPr>
            <w:r>
              <w:rPr>
                <w:rFonts w:hint="eastAsia" w:ascii="楷体_GB2312" w:eastAsia="楷体_GB2312"/>
                <w:color w:val="000000"/>
              </w:rPr>
              <w:t>本产品不设大额赎回条款，无赎回费用。</w:t>
            </w:r>
          </w:p>
          <w:p>
            <w:pPr>
              <w:rPr>
                <w:rFonts w:ascii="楷体_GB2312" w:eastAsia="楷体_GB2312"/>
                <w:color w:val="000000"/>
              </w:rPr>
            </w:pPr>
            <w:r>
              <w:rPr>
                <w:rFonts w:hint="eastAsia" w:ascii="楷体_GB2312" w:eastAsia="楷体_GB2312"/>
                <w:b/>
                <w:bCs/>
                <w:color w:val="000000"/>
              </w:rPr>
              <w:t>投资者赎回采取份额全额自动赎回，到期赎回当日由系统自动发起，投资者无需主动提交赎回申请。</w:t>
            </w:r>
            <w:r>
              <w:rPr>
                <w:rFonts w:hint="eastAsia" w:ascii="楷体_GB2312" w:eastAsia="楷体_GB2312"/>
                <w:color w:val="000000"/>
              </w:rPr>
              <w:t>投资者份额赎回时产品单位净值取份额赎回日前一开放日产品单位净值。</w:t>
            </w:r>
          </w:p>
          <w:p>
            <w:pPr>
              <w:rPr>
                <w:rFonts w:ascii="楷体_GB2312" w:eastAsia="楷体_GB2312"/>
                <w:color w:val="000000"/>
              </w:rPr>
            </w:pPr>
            <w:r>
              <w:rPr>
                <w:rFonts w:hint="eastAsia" w:ascii="楷体_GB2312" w:eastAsia="楷体_GB2312"/>
                <w:color w:val="000000"/>
              </w:rPr>
              <w:t>本产品自投资者持有产品份额到期之日（即份额赎回日）由管理人自动赎回，份额赎回日由</w:t>
            </w:r>
            <w:r>
              <w:rPr>
                <w:rFonts w:hint="eastAsia" w:eastAsia="楷体_GB2312"/>
                <w:color w:val="000000"/>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赎回金额</w:t>
            </w:r>
          </w:p>
        </w:tc>
        <w:tc>
          <w:tcPr>
            <w:tcW w:w="6466" w:type="dxa"/>
            <w:vAlign w:val="top"/>
          </w:tcPr>
          <w:p>
            <w:pPr>
              <w:rPr>
                <w:rFonts w:ascii="Times New Roman" w:hAnsi="Times New Roman" w:eastAsia="楷体_GB2312"/>
                <w:color w:val="000000"/>
              </w:rPr>
            </w:pPr>
            <w:r>
              <w:rPr>
                <w:rFonts w:hint="eastAsia" w:ascii="Times New Roman" w:hAnsi="Times New Roman" w:eastAsia="楷体_GB2312"/>
                <w:bCs/>
                <w:color w:val="000000"/>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募集期</w:t>
            </w:r>
            <w:r>
              <w:rPr>
                <w:rFonts w:ascii="楷体_GB2312" w:hAnsi="Times New Roman" w:eastAsia="楷体_GB2312"/>
                <w:b/>
                <w:color w:val="000000"/>
              </w:rPr>
              <w:t>/</w:t>
            </w:r>
            <w:r>
              <w:rPr>
                <w:rFonts w:hint="eastAsia" w:ascii="楷体_GB2312" w:hAnsi="Times New Roman" w:eastAsia="楷体_GB2312"/>
                <w:b/>
                <w:color w:val="000000"/>
              </w:rPr>
              <w:t>开放期是否允许撤单</w:t>
            </w:r>
          </w:p>
        </w:tc>
        <w:tc>
          <w:tcPr>
            <w:tcW w:w="6466" w:type="dxa"/>
            <w:vAlign w:val="top"/>
          </w:tcPr>
          <w:p>
            <w:pPr>
              <w:rPr>
                <w:rFonts w:ascii="Times New Roman" w:hAnsi="Times New Roman" w:eastAsia="楷体_GB2312"/>
                <w:bCs/>
                <w:color w:val="000000"/>
              </w:rPr>
            </w:pPr>
            <w:r>
              <w:rPr>
                <w:rFonts w:hint="eastAsia" w:ascii="Times New Roman" w:hAnsi="Times New Roman" w:eastAsia="楷体_GB2312"/>
                <w:bCs/>
                <w:color w:val="000000"/>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单位净值</w:t>
            </w:r>
          </w:p>
        </w:tc>
        <w:tc>
          <w:tcPr>
            <w:tcW w:w="6466" w:type="dxa"/>
            <w:vAlign w:val="top"/>
          </w:tcPr>
          <w:p>
            <w:pPr>
              <w:spacing w:line="360" w:lineRule="exact"/>
              <w:rPr>
                <w:rFonts w:ascii="Times New Roman" w:hAnsi="Times New Roman" w:eastAsia="楷体_GB2312"/>
                <w:bCs/>
                <w:color w:val="000000"/>
              </w:rPr>
            </w:pPr>
            <w:r>
              <w:rPr>
                <w:rFonts w:hint="eastAsia" w:ascii="Times New Roman" w:hAnsi="Times New Roman" w:eastAsia="楷体_GB2312"/>
                <w:bCs/>
                <w:color w:val="000000"/>
              </w:rPr>
              <w:t>指提取相关费用后的单位理财产品份额净值，投资者按该单位净值进行申购、赎回和终止时的分配。</w:t>
            </w:r>
          </w:p>
          <w:p>
            <w:pPr>
              <w:spacing w:line="360" w:lineRule="exact"/>
              <w:rPr>
                <w:rFonts w:ascii="Times New Roman" w:hAnsi="Times New Roman" w:eastAsia="楷体_GB2312"/>
                <w:bCs/>
                <w:color w:val="000000"/>
              </w:rPr>
            </w:pPr>
            <w:r>
              <w:rPr>
                <w:rFonts w:hint="eastAsia" w:eastAsia="楷体_GB2312"/>
                <w:color w:val="000000"/>
                <w:szCs w:val="21"/>
              </w:rPr>
              <w:t>其计算公式为：产品单位净值</w:t>
            </w:r>
            <w:r>
              <w:rPr>
                <w:rFonts w:eastAsia="楷体_GB2312"/>
                <w:color w:val="000000"/>
                <w:szCs w:val="21"/>
              </w:rPr>
              <w:t>=</w:t>
            </w:r>
            <w:r>
              <w:rPr>
                <w:rFonts w:hint="eastAsia" w:eastAsia="楷体_GB2312"/>
                <w:color w:val="000000"/>
                <w:szCs w:val="21"/>
              </w:rPr>
              <w:t>产品资产净值</w:t>
            </w:r>
            <w:r>
              <w:rPr>
                <w:rFonts w:eastAsia="楷体_GB2312"/>
                <w:color w:val="000000"/>
                <w:szCs w:val="21"/>
              </w:rPr>
              <w:t>/</w:t>
            </w:r>
            <w:r>
              <w:rPr>
                <w:rFonts w:hint="eastAsia" w:eastAsia="楷体_GB2312"/>
                <w:color w:val="000000"/>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eastAsia="楷体_GB2312"/>
                <w:b/>
                <w:bCs/>
                <w:color w:val="000000"/>
              </w:rPr>
              <w:t>产品开放时间</w:t>
            </w:r>
          </w:p>
        </w:tc>
        <w:tc>
          <w:tcPr>
            <w:tcW w:w="6466" w:type="dxa"/>
            <w:vAlign w:val="top"/>
          </w:tcPr>
          <w:p>
            <w:pPr>
              <w:spacing w:line="360" w:lineRule="exact"/>
              <w:rPr>
                <w:rFonts w:eastAsia="楷体_GB2312"/>
                <w:color w:val="000000"/>
              </w:rPr>
            </w:pPr>
            <w:r>
              <w:rPr>
                <w:rFonts w:eastAsia="楷体_GB2312"/>
                <w:b/>
                <w:bCs/>
                <w:color w:val="000000"/>
              </w:rPr>
              <w:t>20</w:t>
            </w:r>
            <w:r>
              <w:rPr>
                <w:rFonts w:hint="eastAsia" w:eastAsia="楷体_GB2312"/>
                <w:b/>
                <w:bCs/>
                <w:color w:val="000000"/>
              </w:rPr>
              <w:t>21年2月3日起投资者可提出申购申请</w:t>
            </w:r>
            <w:r>
              <w:rPr>
                <w:rFonts w:hint="eastAsia" w:eastAsia="楷体_GB2312"/>
                <w:color w:val="000000"/>
              </w:rPr>
              <w:t>。投资者提出申购申请后，投资者资金将会冻结在投资者资金账户。投资者申购申请为预受理状态，投资者可在申购结束日</w:t>
            </w:r>
            <w:r>
              <w:rPr>
                <w:rFonts w:eastAsia="楷体_GB2312"/>
                <w:color w:val="000000"/>
                <w:u w:val="single"/>
              </w:rPr>
              <w:t xml:space="preserve"> 20</w:t>
            </w:r>
            <w:r>
              <w:rPr>
                <w:rFonts w:hint="eastAsia" w:eastAsia="楷体_GB2312"/>
                <w:color w:val="000000"/>
                <w:u w:val="single"/>
              </w:rPr>
              <w:t>：</w:t>
            </w:r>
            <w:r>
              <w:rPr>
                <w:rFonts w:eastAsia="楷体_GB2312"/>
                <w:color w:val="000000"/>
                <w:u w:val="single"/>
              </w:rPr>
              <w:t>30</w:t>
            </w:r>
            <w:r>
              <w:rPr>
                <w:rFonts w:hint="eastAsia" w:eastAsia="楷体_GB2312"/>
                <w:color w:val="000000"/>
              </w:rPr>
              <w:t>前通过撤单交易，取消申购申请。</w:t>
            </w:r>
          </w:p>
          <w:p>
            <w:pPr>
              <w:spacing w:line="360" w:lineRule="exact"/>
              <w:rPr>
                <w:rFonts w:eastAsia="楷体_GB2312"/>
                <w:color w:val="000000"/>
              </w:rPr>
            </w:pPr>
            <w:r>
              <w:rPr>
                <w:rFonts w:hint="eastAsia" w:eastAsia="楷体_GB2312"/>
                <w:b/>
                <w:bCs/>
                <w:color w:val="000000"/>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申购/赎回规则</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本产品采用金额申购、份额赎回原则，即申购以金额申请，赎回以份额申请。申购与赎回价格以</w:t>
            </w:r>
            <w:r>
              <w:rPr>
                <w:rFonts w:ascii="Times New Roman" w:hAnsi="Times New Roman" w:eastAsia="楷体_GB2312"/>
                <w:color w:val="000000"/>
              </w:rPr>
              <w:t>"</w:t>
            </w:r>
            <w:r>
              <w:rPr>
                <w:rFonts w:hint="eastAsia" w:ascii="Times New Roman" w:hAnsi="Times New Roman" w:eastAsia="楷体_GB2312"/>
                <w:color w:val="000000"/>
              </w:rPr>
              <w:t>未知价原则</w:t>
            </w:r>
            <w:r>
              <w:rPr>
                <w:rFonts w:ascii="Times New Roman" w:hAnsi="Times New Roman" w:eastAsia="楷体_GB2312"/>
                <w:color w:val="000000"/>
              </w:rPr>
              <w:t>"</w:t>
            </w:r>
            <w:r>
              <w:rPr>
                <w:rFonts w:hint="eastAsia" w:ascii="Times New Roman" w:hAnsi="Times New Roman" w:eastAsia="楷体_GB2312"/>
                <w:color w:val="000000"/>
              </w:rPr>
              <w:t>受理申请，即</w:t>
            </w:r>
            <w:r>
              <w:rPr>
                <w:rFonts w:hint="eastAsia" w:ascii="楷体_GB2312" w:eastAsia="楷体_GB2312"/>
                <w:color w:val="000000"/>
              </w:rPr>
              <w:t>申购结束日</w:t>
            </w:r>
            <w:r>
              <w:rPr>
                <w:rFonts w:ascii="楷体_GB2312" w:eastAsia="楷体_GB2312"/>
                <w:color w:val="000000"/>
              </w:rPr>
              <w:t>(T</w:t>
            </w:r>
            <w:r>
              <w:rPr>
                <w:rFonts w:hint="eastAsia" w:ascii="楷体_GB2312" w:eastAsia="楷体_GB2312"/>
                <w:color w:val="000000"/>
              </w:rPr>
              <w:t>日</w:t>
            </w:r>
            <w:r>
              <w:rPr>
                <w:rFonts w:ascii="楷体_GB2312" w:eastAsia="楷体_GB2312"/>
                <w:color w:val="000000"/>
              </w:rPr>
              <w:t>)</w:t>
            </w:r>
            <w:r>
              <w:rPr>
                <w:rFonts w:hint="eastAsia" w:ascii="Times New Roman" w:hAnsi="Times New Roman" w:eastAsia="楷体_GB2312"/>
                <w:color w:val="000000"/>
              </w:rPr>
              <w:t>产品单位净值为基准进行计算。</w:t>
            </w:r>
          </w:p>
          <w:p>
            <w:pPr>
              <w:spacing w:line="360" w:lineRule="exact"/>
              <w:rPr>
                <w:rFonts w:ascii="Times New Roman" w:hAnsi="Times New Roman" w:eastAsia="楷体_GB2312"/>
                <w:color w:val="000000"/>
              </w:rPr>
            </w:pPr>
            <w:r>
              <w:rPr>
                <w:rFonts w:hint="eastAsia" w:eastAsia="楷体_GB2312"/>
                <w:color w:val="000000"/>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产品管理人有权单方面更改上述原则，但应最迟在新的原则实施前三个工作日予以公告。</w:t>
            </w:r>
          </w:p>
          <w:p>
            <w:pPr>
              <w:spacing w:line="360" w:lineRule="exact"/>
              <w:rPr>
                <w:rFonts w:ascii="Times New Roman" w:hAnsi="Times New Roman" w:eastAsia="楷体_GB2312"/>
                <w:color w:val="000000"/>
              </w:rPr>
            </w:pPr>
            <w:r>
              <w:rPr>
                <w:rFonts w:hint="eastAsia" w:ascii="Times New Roman" w:hAnsi="Times New Roman" w:eastAsia="楷体_GB2312"/>
                <w:color w:val="000000"/>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申购确认</w:t>
            </w:r>
          </w:p>
        </w:tc>
        <w:tc>
          <w:tcPr>
            <w:tcW w:w="6466" w:type="dxa"/>
            <w:vAlign w:val="top"/>
          </w:tcPr>
          <w:p>
            <w:pPr>
              <w:spacing w:line="360" w:lineRule="exact"/>
              <w:rPr>
                <w:rFonts w:ascii="Times New Roman" w:hAnsi="Times New Roman" w:eastAsia="楷体_GB2312"/>
                <w:color w:val="000000"/>
              </w:rPr>
            </w:pPr>
            <w:r>
              <w:rPr>
                <w:rFonts w:hint="eastAsia" w:eastAsia="楷体_GB2312"/>
                <w:color w:val="000000"/>
              </w:rPr>
              <w:t>产品管理人在</w:t>
            </w:r>
            <w:r>
              <w:rPr>
                <w:rFonts w:hint="eastAsia" w:ascii="楷体_GB2312" w:eastAsia="楷体_GB2312"/>
                <w:color w:val="000000"/>
              </w:rPr>
              <w:t>申购结束日</w:t>
            </w:r>
            <w:r>
              <w:rPr>
                <w:rFonts w:hint="eastAsia" w:eastAsia="楷体_GB2312"/>
                <w:color w:val="000000"/>
              </w:rPr>
              <w:t>后一工作日处理申购开放期业务办理时间段内收到申购申请，并对该交易的有效性进行确认并扣款，投资者可在</w:t>
            </w:r>
            <w:r>
              <w:rPr>
                <w:rFonts w:eastAsia="楷体_GB2312"/>
                <w:color w:val="000000"/>
              </w:rPr>
              <w:t>T+3</w:t>
            </w:r>
            <w:r>
              <w:rPr>
                <w:rFonts w:hint="eastAsia" w:eastAsia="楷体_GB2312"/>
                <w:color w:val="000000"/>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Times New Roman" w:hAnsi="Times New Roman" w:eastAsia="楷体_GB2312"/>
                <w:b/>
                <w:color w:val="000000"/>
              </w:rPr>
              <w:t>赎回资金到账日</w:t>
            </w:r>
          </w:p>
        </w:tc>
        <w:tc>
          <w:tcPr>
            <w:tcW w:w="6466" w:type="dxa"/>
            <w:vAlign w:val="top"/>
          </w:tcPr>
          <w:p>
            <w:pPr>
              <w:spacing w:line="360" w:lineRule="exact"/>
              <w:rPr>
                <w:rFonts w:ascii="Times New Roman" w:hAnsi="Times New Roman" w:eastAsia="楷体_GB2312"/>
                <w:b/>
                <w:bCs/>
                <w:color w:val="000000"/>
              </w:rPr>
            </w:pPr>
            <w:r>
              <w:rPr>
                <w:rFonts w:hint="eastAsia" w:ascii="Times New Roman" w:hAnsi="Times New Roman" w:eastAsia="楷体_GB2312"/>
                <w:b/>
                <w:bCs/>
                <w:color w:val="000000"/>
              </w:rPr>
              <w:t>赎回资金将于份额赎回日后</w:t>
            </w:r>
            <w:r>
              <w:rPr>
                <w:rFonts w:ascii="Times New Roman" w:hAnsi="Times New Roman" w:eastAsia="楷体_GB2312"/>
                <w:b/>
                <w:bCs/>
                <w:color w:val="000000"/>
              </w:rPr>
              <w:t>2</w:t>
            </w:r>
            <w:r>
              <w:rPr>
                <w:rFonts w:hint="eastAsia" w:ascii="Times New Roman" w:hAnsi="Times New Roman" w:eastAsia="楷体_GB2312"/>
                <w:b/>
                <w:bCs/>
                <w:color w:val="000000"/>
              </w:rPr>
              <w:t>个工作日内一次性支付。</w:t>
            </w:r>
          </w:p>
          <w:p>
            <w:pPr>
              <w:spacing w:line="360" w:lineRule="exact"/>
              <w:rPr>
                <w:rFonts w:ascii="Times New Roman" w:hAnsi="Times New Roman" w:eastAsia="楷体_GB2312"/>
                <w:color w:val="000000"/>
              </w:rPr>
            </w:pPr>
            <w:r>
              <w:rPr>
                <w:rFonts w:hint="eastAsia" w:ascii="Times New Roman" w:hAnsi="Times New Roman" w:eastAsia="楷体_GB2312"/>
                <w:b/>
                <w:bCs/>
                <w:color w:val="000000"/>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color w:val="000000"/>
              </w:rPr>
            </w:pPr>
            <w:r>
              <w:rPr>
                <w:rFonts w:hint="eastAsia" w:ascii="楷体_GB2312" w:hAnsi="Times New Roman" w:eastAsia="楷体_GB2312"/>
                <w:b/>
                <w:color w:val="000000"/>
              </w:rPr>
              <w:t>相关费用</w:t>
            </w:r>
          </w:p>
        </w:tc>
        <w:tc>
          <w:tcPr>
            <w:tcW w:w="6466" w:type="dxa"/>
            <w:vAlign w:val="top"/>
          </w:tcPr>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认购费：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申购费</w:t>
            </w:r>
            <w:r>
              <w:rPr>
                <w:rFonts w:hint="eastAsia" w:ascii="楷体_GB2312" w:hAnsi="Times New Roman" w:eastAsia="楷体_GB2312"/>
                <w:color w:val="000000"/>
                <w:u w:val="single"/>
              </w:rPr>
              <w:t>：</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赎回费：</w:t>
            </w:r>
            <w:r>
              <w:rPr>
                <w:rFonts w:ascii="楷体_GB2312" w:hAnsi="Times New Roman" w:eastAsia="楷体_GB2312"/>
                <w:color w:val="000000"/>
                <w:u w:val="single"/>
              </w:rPr>
              <w:t>0%/</w:t>
            </w:r>
            <w:r>
              <w:rPr>
                <w:rFonts w:hint="eastAsia" w:ascii="楷体_GB2312" w:hAnsi="Times New Roman" w:eastAsia="楷体_GB2312"/>
                <w:color w:val="000000"/>
                <w:u w:val="single"/>
              </w:rPr>
              <w:t>年</w:t>
            </w:r>
            <w:r>
              <w:rPr>
                <w:rFonts w:hint="eastAsia" w:ascii="楷体_GB2312" w:hAnsi="Times New Roman" w:eastAsia="楷体_GB2312"/>
                <w:color w:val="000000"/>
              </w:rPr>
              <w:t>；</w:t>
            </w:r>
          </w:p>
          <w:p>
            <w:pPr>
              <w:numPr>
                <w:ilvl w:val="0"/>
                <w:numId w:val="1"/>
              </w:numPr>
              <w:snapToGrid w:val="0"/>
              <w:spacing w:line="360" w:lineRule="exact"/>
              <w:rPr>
                <w:rFonts w:ascii="楷体_GB2312" w:hAnsi="Times New Roman" w:eastAsia="楷体_GB2312"/>
                <w:color w:val="000000"/>
              </w:rPr>
            </w:pPr>
            <w:r>
              <w:rPr>
                <w:rFonts w:hint="eastAsia" w:ascii="楷体_GB2312" w:hAnsi="Times New Roman" w:eastAsia="楷体_GB2312"/>
                <w:color w:val="000000"/>
              </w:rPr>
              <w:t>管理费、托管费：</w:t>
            </w:r>
          </w:p>
          <w:p>
            <w:pPr>
              <w:spacing w:line="360" w:lineRule="exact"/>
              <w:rPr>
                <w:rFonts w:ascii="楷体_GB2312"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0.5%/</w:t>
            </w:r>
            <w:r>
              <w:rPr>
                <w:rFonts w:hint="eastAsia" w:ascii="楷体_GB2312" w:hAnsi="Times New Roman" w:eastAsia="楷体_GB2312"/>
                <w:color w:val="000000"/>
                <w:u w:val="single"/>
              </w:rPr>
              <w:t>年</w:t>
            </w:r>
            <w:r>
              <w:rPr>
                <w:rFonts w:hint="eastAsia" w:ascii="楷体_GB2312" w:hAnsi="Times New Roman" w:eastAsia="楷体_GB2312"/>
                <w:color w:val="000000"/>
              </w:rPr>
              <w:t>提取固定管理费</w:t>
            </w:r>
            <w:r>
              <w:rPr>
                <w:rFonts w:hint="eastAsia" w:ascii="楷体_GB2312" w:eastAsia="楷体_GB2312"/>
                <w:color w:val="000000"/>
              </w:rPr>
              <w:t>。</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每日计提的固定管理费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0.5</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本产品按照资产净值的</w:t>
            </w:r>
            <w:r>
              <w:rPr>
                <w:rFonts w:ascii="楷体_GB2312" w:hAnsi="Times New Roman" w:eastAsia="楷体_GB2312"/>
                <w:color w:val="000000"/>
                <w:u w:val="single"/>
              </w:rPr>
              <w:t>0.01%/</w:t>
            </w:r>
            <w:r>
              <w:rPr>
                <w:rFonts w:hint="eastAsia" w:ascii="楷体_GB2312" w:hAnsi="Times New Roman" w:eastAsia="楷体_GB2312"/>
                <w:color w:val="000000"/>
                <w:u w:val="single"/>
              </w:rPr>
              <w:t>年</w:t>
            </w:r>
            <w:r>
              <w:rPr>
                <w:rFonts w:hint="eastAsia" w:ascii="楷体_GB2312" w:hAnsi="Times New Roman" w:eastAsia="楷体_GB2312"/>
                <w:color w:val="000000"/>
              </w:rPr>
              <w:t>提取托管费。</w:t>
            </w:r>
          </w:p>
          <w:p>
            <w:pPr>
              <w:spacing w:line="360" w:lineRule="exact"/>
              <w:rPr>
                <w:rFonts w:ascii="楷体_GB2312" w:hAnsi="Times New Roman" w:eastAsia="楷体_GB2312"/>
                <w:color w:val="000000"/>
              </w:rPr>
            </w:pPr>
            <w:r>
              <w:rPr>
                <w:rFonts w:hint="eastAsia" w:ascii="楷体_GB2312" w:hAnsi="Times New Roman" w:eastAsia="楷体_GB2312"/>
                <w:color w:val="000000"/>
              </w:rPr>
              <w:t>每日计提的托管费</w:t>
            </w:r>
            <w:r>
              <w:rPr>
                <w:rFonts w:ascii="楷体_GB2312" w:hAnsi="Times New Roman" w:eastAsia="楷体_GB2312"/>
                <w:color w:val="000000"/>
              </w:rPr>
              <w:t>=</w:t>
            </w:r>
            <w:r>
              <w:rPr>
                <w:rFonts w:hint="eastAsia" w:ascii="楷体_GB2312" w:hAnsi="Times New Roman" w:eastAsia="楷体_GB2312"/>
                <w:color w:val="000000"/>
              </w:rPr>
              <w:t>每日资产净值×</w:t>
            </w:r>
            <w:r>
              <w:rPr>
                <w:rFonts w:ascii="楷体_GB2312" w:hAnsi="Times New Roman" w:eastAsia="楷体_GB2312"/>
                <w:color w:val="000000"/>
                <w:u w:val="single"/>
              </w:rPr>
              <w:t>0.01</w:t>
            </w:r>
            <w:r>
              <w:rPr>
                <w:rFonts w:ascii="楷体_GB2312" w:hAnsi="Times New Roman" w:eastAsia="楷体_GB2312"/>
                <w:color w:val="000000"/>
              </w:rPr>
              <w:t>%</w:t>
            </w:r>
            <w:r>
              <w:rPr>
                <w:rFonts w:hint="eastAsia" w:ascii="楷体_GB2312" w:hAnsi="Times New Roman" w:eastAsia="楷体_GB2312"/>
                <w:color w:val="000000"/>
              </w:rPr>
              <w:t>／</w:t>
            </w:r>
            <w:r>
              <w:rPr>
                <w:rFonts w:ascii="楷体_GB2312" w:hAnsi="Times New Roman" w:eastAsia="楷体_GB2312"/>
                <w:color w:val="000000"/>
              </w:rPr>
              <w:t>365</w:t>
            </w:r>
          </w:p>
          <w:p>
            <w:pPr>
              <w:spacing w:line="360" w:lineRule="exact"/>
              <w:rPr>
                <w:rFonts w:ascii="楷体_GB2312" w:hAnsi="Times New Roman" w:eastAsia="楷体_GB2312"/>
                <w:color w:val="000000"/>
              </w:rPr>
            </w:pPr>
            <w:r>
              <w:rPr>
                <w:rFonts w:hint="eastAsia" w:ascii="楷体_GB2312" w:hAnsi="Times New Roman" w:eastAsia="楷体_GB2312"/>
                <w:color w:val="000000"/>
              </w:rPr>
              <w:t>产品固定管理费、托管费每日计提</w:t>
            </w:r>
            <w:r>
              <w:rPr>
                <w:rFonts w:hint="eastAsia"/>
                <w:color w:val="000000"/>
              </w:rPr>
              <w:t>，</w:t>
            </w:r>
            <w:r>
              <w:rPr>
                <w:rFonts w:hint="eastAsia" w:ascii="楷体_GB2312" w:hAnsi="Times New Roman" w:eastAsia="楷体_GB2312"/>
                <w:color w:val="000000"/>
              </w:rPr>
              <w:t>管理人有权根据实际情况自行提取固定管理费。</w:t>
            </w:r>
          </w:p>
          <w:p>
            <w:pPr>
              <w:spacing w:line="360" w:lineRule="exact"/>
              <w:rPr>
                <w:rFonts w:ascii="楷体_GB2312" w:hAnsi="Times New Roman" w:eastAsia="楷体_GB2312"/>
                <w:color w:val="000000"/>
              </w:rPr>
            </w:pPr>
            <w:r>
              <w:rPr>
                <w:rFonts w:hint="eastAsia" w:ascii="楷体_GB2312" w:hAnsi="Times New Roman" w:eastAsia="楷体_GB2312"/>
                <w:color w:val="000000"/>
              </w:rPr>
              <w:t>其他费用详见本产品说明书第三部分“产品的相关费用及收益与分配</w:t>
            </w:r>
          </w:p>
          <w:p>
            <w:pPr>
              <w:spacing w:line="360" w:lineRule="exact"/>
              <w:rPr>
                <w:rFonts w:ascii="Times New Roman" w:hAnsi="Times New Roman" w:eastAsia="楷体_GB2312"/>
                <w:color w:val="000000"/>
              </w:rPr>
            </w:pPr>
            <w:r>
              <w:rPr>
                <w:rFonts w:hint="eastAsia" w:ascii="楷体_GB2312" w:hAnsi="Times New Roman" w:eastAsia="楷体_GB2312"/>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楷体_GB2312" w:hAnsi="Times New Roman" w:eastAsia="楷体_GB2312"/>
                <w:b/>
                <w:color w:val="000000"/>
              </w:rPr>
              <w:t>销售渠道</w:t>
            </w:r>
          </w:p>
        </w:tc>
        <w:tc>
          <w:tcPr>
            <w:tcW w:w="6466" w:type="dxa"/>
            <w:vAlign w:val="top"/>
          </w:tcPr>
          <w:p>
            <w:pPr>
              <w:rPr>
                <w:color w:val="000000"/>
              </w:rPr>
            </w:pPr>
            <w:r>
              <w:rPr>
                <w:rFonts w:hint="eastAsia" w:ascii="楷体_GB2312" w:hAnsi="Times New Roman" w:eastAsia="楷体_GB2312"/>
                <w:color w:val="000000"/>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color w:val="000000"/>
              </w:rPr>
            </w:pPr>
            <w:r>
              <w:rPr>
                <w:rFonts w:hint="eastAsia" w:ascii="Times New Roman" w:hAnsi="Times New Roman" w:eastAsia="楷体_GB2312"/>
                <w:b/>
                <w:color w:val="000000"/>
              </w:rPr>
              <w:t>工作日</w:t>
            </w:r>
          </w:p>
        </w:tc>
        <w:tc>
          <w:tcPr>
            <w:tcW w:w="6466" w:type="dxa"/>
            <w:vAlign w:val="top"/>
          </w:tcPr>
          <w:p>
            <w:pPr>
              <w:spacing w:line="360" w:lineRule="exact"/>
              <w:rPr>
                <w:rFonts w:ascii="Times New Roman" w:hAnsi="Times New Roman" w:eastAsia="楷体_GB2312"/>
                <w:color w:val="000000"/>
              </w:rPr>
            </w:pPr>
            <w:r>
              <w:rPr>
                <w:rFonts w:hint="eastAsia" w:ascii="Times New Roman" w:hAnsi="Times New Roman" w:eastAsia="楷体_GB2312"/>
                <w:color w:val="000000"/>
              </w:rPr>
              <w:t>除法定节假日和休息日（以国务院公布为准）以外的中国的银行营业日。如遇特殊情况，以常熟农商银行具体公告为准。</w:t>
            </w:r>
          </w:p>
          <w:p>
            <w:pPr>
              <w:spacing w:line="360" w:lineRule="exact"/>
              <w:rPr>
                <w:color w:val="000000"/>
              </w:rPr>
            </w:pPr>
            <w:r>
              <w:rPr>
                <w:rFonts w:hint="eastAsia" w:ascii="Times New Roman" w:hAnsi="Times New Roman" w:eastAsia="楷体_GB2312"/>
                <w:color w:val="000000"/>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color w:val="000000"/>
              </w:rPr>
            </w:pPr>
            <w:r>
              <w:rPr>
                <w:rFonts w:hint="eastAsia" w:ascii="楷体_GB2312" w:hAnsi="Times New Roman" w:eastAsia="楷体_GB2312"/>
                <w:b/>
                <w:color w:val="000000"/>
                <w:kern w:val="0"/>
              </w:rPr>
              <w:t>税收规定</w:t>
            </w:r>
          </w:p>
        </w:tc>
        <w:tc>
          <w:tcPr>
            <w:tcW w:w="6466" w:type="dxa"/>
            <w:vAlign w:val="top"/>
          </w:tcPr>
          <w:p>
            <w:pPr>
              <w:rPr>
                <w:rFonts w:ascii="Times New Roman" w:hAnsi="Times New Roman" w:eastAsia="楷体_GB2312"/>
                <w:color w:val="000000"/>
              </w:rPr>
            </w:pPr>
            <w:r>
              <w:rPr>
                <w:rFonts w:hint="eastAsia" w:ascii="楷体_GB2312" w:hAnsi="Times New Roman" w:eastAsia="楷体_GB2312"/>
                <w:color w:val="000000"/>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color w:val="000000"/>
          <w:sz w:val="28"/>
        </w:rPr>
      </w:pPr>
    </w:p>
    <w:p>
      <w:pPr>
        <w:snapToGrid w:val="0"/>
        <w:spacing w:line="360" w:lineRule="atLeast"/>
        <w:ind w:firstLine="481" w:firstLineChars="171"/>
        <w:jc w:val="center"/>
        <w:rPr>
          <w:rFonts w:eastAsia="楷体_GB2312"/>
          <w:color w:val="000000"/>
        </w:rPr>
      </w:pPr>
      <w:r>
        <w:rPr>
          <w:rFonts w:hint="eastAsia" w:ascii="楷体_GB2312" w:hAnsi="Times New Roman" w:eastAsia="楷体_GB2312"/>
          <w:b/>
          <w:color w:val="000000"/>
          <w:sz w:val="28"/>
        </w:rPr>
        <w:t>二、</w:t>
      </w:r>
      <w:r>
        <w:rPr>
          <w:rFonts w:hint="eastAsia" w:ascii="楷体_GB2312" w:eastAsia="楷体_GB2312"/>
          <w:b/>
          <w:color w:val="000000"/>
          <w:sz w:val="28"/>
        </w:rPr>
        <w:t>产品申购、赎回及发行计划</w:t>
      </w:r>
    </w:p>
    <w:p>
      <w:pPr>
        <w:spacing w:line="360" w:lineRule="exact"/>
        <w:ind w:firstLine="361" w:firstLineChars="171"/>
        <w:rPr>
          <w:rFonts w:eastAsia="楷体_GB2312"/>
          <w:b/>
          <w:color w:val="000000"/>
        </w:rPr>
      </w:pPr>
      <w:r>
        <w:rPr>
          <w:rFonts w:hint="eastAsia" w:eastAsia="楷体_GB2312"/>
          <w:b/>
          <w:color w:val="000000"/>
        </w:rPr>
        <w:t>（一）申购</w:t>
      </w:r>
    </w:p>
    <w:p>
      <w:pPr>
        <w:spacing w:line="360" w:lineRule="exact"/>
        <w:ind w:firstLine="359" w:firstLineChars="171"/>
        <w:rPr>
          <w:rFonts w:eastAsia="楷体_GB2312"/>
          <w:color w:val="000000"/>
          <w:szCs w:val="21"/>
        </w:rPr>
      </w:pPr>
      <w:r>
        <w:rPr>
          <w:rFonts w:hint="eastAsia" w:eastAsia="楷体_GB2312"/>
          <w:color w:val="000000"/>
          <w:szCs w:val="21"/>
        </w:rPr>
        <w:t>投资者必须在开放日的业务办理时间提出申购申请。</w:t>
      </w:r>
    </w:p>
    <w:p>
      <w:pPr>
        <w:spacing w:line="360" w:lineRule="exact"/>
        <w:ind w:firstLine="359" w:firstLineChars="171"/>
        <w:rPr>
          <w:rFonts w:eastAsia="楷体_GB2312"/>
          <w:color w:val="000000"/>
        </w:rPr>
      </w:pPr>
      <w:r>
        <w:rPr>
          <w:rFonts w:hint="eastAsia" w:eastAsia="楷体_GB2312"/>
          <w:color w:val="000000"/>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color w:val="000000"/>
        </w:rPr>
      </w:pPr>
      <w:r>
        <w:rPr>
          <w:rFonts w:hint="eastAsia" w:eastAsia="楷体_GB2312"/>
          <w:b/>
          <w:bCs/>
          <w:color w:val="000000"/>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color w:val="000000"/>
        </w:rPr>
      </w:pPr>
      <w:r>
        <w:rPr>
          <w:rFonts w:hint="eastAsia" w:eastAsia="楷体_GB2312"/>
          <w:color w:val="000000"/>
        </w:rPr>
        <w:t>（二）</w:t>
      </w:r>
      <w:r>
        <w:rPr>
          <w:rFonts w:hint="eastAsia" w:eastAsia="楷体_GB2312"/>
          <w:b/>
          <w:color w:val="000000"/>
        </w:rPr>
        <w:t>赎回</w:t>
      </w:r>
    </w:p>
    <w:p>
      <w:pPr>
        <w:spacing w:line="360" w:lineRule="exact"/>
        <w:ind w:firstLine="359" w:firstLineChars="171"/>
        <w:rPr>
          <w:rFonts w:eastAsia="楷体_GB2312"/>
          <w:color w:val="000000"/>
        </w:rPr>
      </w:pPr>
      <w:r>
        <w:rPr>
          <w:rFonts w:hint="eastAsia" w:eastAsia="楷体_GB2312"/>
          <w:color w:val="000000"/>
        </w:rPr>
        <w:t>产品赎回金额的计算如下:</w:t>
      </w:r>
    </w:p>
    <w:p>
      <w:pPr>
        <w:spacing w:line="360" w:lineRule="exact"/>
        <w:ind w:firstLine="359" w:firstLineChars="171"/>
        <w:rPr>
          <w:rFonts w:eastAsia="楷体_GB2312"/>
          <w:b/>
          <w:bCs/>
          <w:color w:val="000000"/>
        </w:rPr>
      </w:pPr>
      <w:r>
        <w:rPr>
          <w:rFonts w:hint="eastAsia" w:ascii="宋体" w:hAnsi="宋体" w:cs="宋体"/>
          <w:color w:val="000000"/>
        </w:rPr>
        <w:t>•</w:t>
      </w:r>
      <w:r>
        <w:rPr>
          <w:rFonts w:hint="eastAsia" w:ascii="楷体" w:hAnsi="楷体" w:eastAsia="楷体" w:cs="楷体"/>
          <w:b/>
          <w:bCs/>
          <w:color w:val="000000"/>
        </w:rPr>
        <w:t>赎回金额＝赎回份数×赎回日前一自然日产品单位净值</w:t>
      </w:r>
    </w:p>
    <w:p>
      <w:pPr>
        <w:spacing w:line="360" w:lineRule="exact"/>
        <w:ind w:firstLine="359" w:firstLineChars="171"/>
        <w:rPr>
          <w:rFonts w:eastAsia="楷体_GB2312"/>
          <w:color w:val="000000"/>
        </w:rPr>
      </w:pPr>
      <w:r>
        <w:rPr>
          <w:rFonts w:hint="eastAsia" w:ascii="宋体" w:hAnsi="宋体" w:cs="宋体"/>
          <w:color w:val="000000"/>
        </w:rPr>
        <w:t>•</w:t>
      </w:r>
      <w:r>
        <w:rPr>
          <w:rFonts w:hint="eastAsia" w:ascii="楷体" w:hAnsi="楷体" w:eastAsia="楷体" w:cs="楷体"/>
          <w:color w:val="000000"/>
        </w:rPr>
        <w:t>赎回金额保留至小数点后两位，小数点后两位以下四舍五入。</w:t>
      </w:r>
    </w:p>
    <w:p>
      <w:pPr>
        <w:spacing w:line="360" w:lineRule="exact"/>
        <w:ind w:firstLine="359" w:firstLineChars="171"/>
        <w:rPr>
          <w:rFonts w:eastAsia="楷体_GB2312"/>
          <w:color w:val="000000"/>
        </w:rPr>
      </w:pPr>
      <w:r>
        <w:rPr>
          <w:rFonts w:hint="eastAsia" w:eastAsia="楷体_GB2312"/>
          <w:color w:val="000000"/>
        </w:rPr>
        <w:t>例：假设赎回本产品100,000份产品份额，持有时间为182天，假设赎回日前一自然日产品单位净值是1.03元，则赎回金额为：</w:t>
      </w:r>
    </w:p>
    <w:p>
      <w:pPr>
        <w:spacing w:line="360" w:lineRule="exact"/>
        <w:ind w:firstLine="359" w:firstLineChars="171"/>
        <w:rPr>
          <w:rFonts w:eastAsia="楷体_GB2312"/>
          <w:color w:val="000000"/>
        </w:rPr>
      </w:pPr>
      <w:r>
        <w:rPr>
          <w:rFonts w:hint="eastAsia" w:eastAsia="楷体_GB2312"/>
          <w:color w:val="000000"/>
        </w:rPr>
        <w:t>赎回金额=100,000×1.03=103,000元。</w:t>
      </w:r>
    </w:p>
    <w:p>
      <w:pPr>
        <w:spacing w:line="360" w:lineRule="exact"/>
        <w:ind w:firstLine="361" w:firstLineChars="171"/>
        <w:rPr>
          <w:rFonts w:eastAsia="楷体_GB2312"/>
          <w:b/>
          <w:bCs/>
          <w:color w:val="000000"/>
        </w:rPr>
      </w:pPr>
      <w:r>
        <w:rPr>
          <w:rFonts w:hint="eastAsia" w:eastAsia="楷体_GB2312"/>
          <w:b/>
          <w:color w:val="000000"/>
        </w:rPr>
        <w:t>（三）</w:t>
      </w:r>
      <w:r>
        <w:rPr>
          <w:rFonts w:hint="eastAsia" w:eastAsia="楷体_GB2312"/>
          <w:b/>
          <w:bCs/>
          <w:color w:val="000000"/>
        </w:rPr>
        <w:t>发行计划</w:t>
      </w:r>
    </w:p>
    <w:p>
      <w:pPr>
        <w:spacing w:line="360" w:lineRule="exact"/>
        <w:ind w:firstLine="359" w:firstLineChars="171"/>
        <w:rPr>
          <w:rFonts w:eastAsia="楷体_GB2312"/>
          <w:color w:val="000000"/>
        </w:rPr>
      </w:pPr>
      <w:r>
        <w:rPr>
          <w:rFonts w:hint="eastAsia" w:eastAsia="楷体_GB2312"/>
          <w:color w:val="000000"/>
        </w:rPr>
        <w:t>产品首次认购计划如下，自</w:t>
      </w:r>
      <w:r>
        <w:rPr>
          <w:rFonts w:eastAsia="楷体_GB2312"/>
          <w:color w:val="000000"/>
        </w:rPr>
        <w:t>20</w:t>
      </w:r>
      <w:r>
        <w:rPr>
          <w:rFonts w:hint="eastAsia" w:eastAsia="楷体_GB2312"/>
          <w:color w:val="000000"/>
        </w:rPr>
        <w:t>21年2月3日起开放申购，正常情况下每周开放，具体发行安排详见常熟农商银行官网公告：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销售系统名称</w:t>
            </w:r>
          </w:p>
        </w:tc>
        <w:tc>
          <w:tcPr>
            <w:tcW w:w="1320" w:type="dxa"/>
            <w:vAlign w:val="center"/>
          </w:tcPr>
          <w:p>
            <w:pPr>
              <w:spacing w:line="360" w:lineRule="exact"/>
              <w:jc w:val="center"/>
              <w:rPr>
                <w:rFonts w:eastAsia="楷体_GB2312"/>
                <w:color w:val="000000"/>
              </w:rPr>
            </w:pPr>
            <w:r>
              <w:rPr>
                <w:rFonts w:hint="eastAsia" w:eastAsia="楷体_GB2312"/>
                <w:color w:val="000000"/>
              </w:rPr>
              <w:t>认购起始日</w:t>
            </w:r>
          </w:p>
        </w:tc>
        <w:tc>
          <w:tcPr>
            <w:tcW w:w="1297" w:type="dxa"/>
            <w:vAlign w:val="center"/>
          </w:tcPr>
          <w:p>
            <w:pPr>
              <w:spacing w:line="360" w:lineRule="exact"/>
              <w:jc w:val="center"/>
              <w:rPr>
                <w:rFonts w:eastAsia="楷体_GB2312"/>
                <w:color w:val="000000"/>
              </w:rPr>
            </w:pPr>
            <w:r>
              <w:rPr>
                <w:rFonts w:hint="eastAsia" w:eastAsia="楷体_GB2312"/>
                <w:color w:val="000000"/>
              </w:rPr>
              <w:t>认购结束日</w:t>
            </w:r>
          </w:p>
        </w:tc>
        <w:tc>
          <w:tcPr>
            <w:tcW w:w="1298" w:type="dxa"/>
            <w:vAlign w:val="center"/>
          </w:tcPr>
          <w:p>
            <w:pPr>
              <w:spacing w:line="360" w:lineRule="exact"/>
              <w:jc w:val="center"/>
              <w:rPr>
                <w:rFonts w:eastAsia="楷体_GB2312"/>
                <w:color w:val="000000"/>
              </w:rPr>
            </w:pPr>
            <w:r>
              <w:rPr>
                <w:rFonts w:hint="eastAsia" w:eastAsia="楷体_GB2312"/>
                <w:color w:val="000000"/>
              </w:rPr>
              <w:t>认购确认日</w:t>
            </w:r>
          </w:p>
        </w:tc>
        <w:tc>
          <w:tcPr>
            <w:tcW w:w="1890" w:type="dxa"/>
            <w:vAlign w:val="center"/>
          </w:tcPr>
          <w:p>
            <w:pPr>
              <w:spacing w:line="360" w:lineRule="exact"/>
              <w:jc w:val="center"/>
              <w:rPr>
                <w:rFonts w:eastAsia="楷体_GB2312"/>
                <w:color w:val="000000"/>
              </w:rPr>
            </w:pPr>
            <w:r>
              <w:rPr>
                <w:rFonts w:hint="eastAsia" w:eastAsia="楷体_GB2312"/>
                <w:color w:val="000000"/>
              </w:rPr>
              <w:t>投资者持有期限（天）</w:t>
            </w:r>
          </w:p>
        </w:tc>
        <w:tc>
          <w:tcPr>
            <w:tcW w:w="1365" w:type="dxa"/>
            <w:vAlign w:val="center"/>
          </w:tcPr>
          <w:p>
            <w:pPr>
              <w:spacing w:line="360" w:lineRule="exact"/>
              <w:jc w:val="center"/>
              <w:rPr>
                <w:rFonts w:eastAsia="楷体_GB2312"/>
                <w:color w:val="000000"/>
              </w:rPr>
            </w:pPr>
            <w:r>
              <w:rPr>
                <w:rFonts w:hint="eastAsia" w:eastAsia="楷体_GB2312"/>
                <w:color w:val="000000"/>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color w:val="000000"/>
              </w:rPr>
            </w:pPr>
            <w:r>
              <w:rPr>
                <w:rFonts w:hint="eastAsia" w:eastAsia="楷体_GB2312"/>
                <w:color w:val="000000"/>
              </w:rPr>
              <w:t>常乐智享六个月A款-1期</w:t>
            </w:r>
          </w:p>
        </w:tc>
        <w:tc>
          <w:tcPr>
            <w:tcW w:w="1320"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01</w:t>
            </w:r>
            <w:r>
              <w:rPr>
                <w:rFonts w:eastAsia="楷体_GB2312"/>
                <w:color w:val="000000"/>
              </w:rPr>
              <w:t>/</w:t>
            </w:r>
            <w:r>
              <w:rPr>
                <w:rFonts w:hint="eastAsia" w:eastAsia="楷体_GB2312"/>
                <w:color w:val="000000"/>
              </w:rPr>
              <w:t>27</w:t>
            </w:r>
          </w:p>
        </w:tc>
        <w:tc>
          <w:tcPr>
            <w:tcW w:w="1297"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02</w:t>
            </w:r>
          </w:p>
        </w:tc>
        <w:tc>
          <w:tcPr>
            <w:tcW w:w="1298"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21</w:t>
            </w:r>
            <w:r>
              <w:rPr>
                <w:rFonts w:eastAsia="楷体_GB2312"/>
                <w:color w:val="000000"/>
              </w:rPr>
              <w:t>/</w:t>
            </w:r>
            <w:r>
              <w:rPr>
                <w:rFonts w:hint="eastAsia" w:eastAsia="楷体_GB2312"/>
                <w:color w:val="000000"/>
              </w:rPr>
              <w:t>02</w:t>
            </w:r>
            <w:r>
              <w:rPr>
                <w:rFonts w:eastAsia="楷体_GB2312"/>
                <w:color w:val="000000"/>
              </w:rPr>
              <w:t>/</w:t>
            </w:r>
            <w:r>
              <w:rPr>
                <w:rFonts w:hint="eastAsia" w:eastAsia="楷体_GB2312"/>
                <w:color w:val="000000"/>
              </w:rPr>
              <w:t>03</w:t>
            </w:r>
          </w:p>
        </w:tc>
        <w:tc>
          <w:tcPr>
            <w:tcW w:w="1890" w:type="dxa"/>
            <w:vAlign w:val="center"/>
          </w:tcPr>
          <w:p>
            <w:pPr>
              <w:spacing w:line="360" w:lineRule="exact"/>
              <w:jc w:val="center"/>
              <w:rPr>
                <w:rFonts w:eastAsia="楷体_GB2312"/>
                <w:color w:val="000000"/>
              </w:rPr>
            </w:pPr>
            <w:r>
              <w:rPr>
                <w:rFonts w:hint="eastAsia" w:eastAsia="楷体_GB2312"/>
                <w:color w:val="000000"/>
              </w:rPr>
              <w:t>182</w:t>
            </w:r>
          </w:p>
        </w:tc>
        <w:tc>
          <w:tcPr>
            <w:tcW w:w="1365" w:type="dxa"/>
            <w:vAlign w:val="center"/>
          </w:tcPr>
          <w:p>
            <w:pPr>
              <w:spacing w:line="360" w:lineRule="exact"/>
              <w:jc w:val="center"/>
              <w:rPr>
                <w:rFonts w:eastAsia="楷体_GB2312"/>
                <w:color w:val="000000"/>
              </w:rPr>
            </w:pPr>
            <w:r>
              <w:rPr>
                <w:rFonts w:eastAsia="楷体_GB2312"/>
                <w:color w:val="000000"/>
              </w:rPr>
              <w:t>20</w:t>
            </w:r>
            <w:r>
              <w:rPr>
                <w:rFonts w:hint="eastAsia" w:eastAsia="楷体_GB2312"/>
                <w:color w:val="000000"/>
              </w:rPr>
              <w:t>2</w:t>
            </w:r>
            <w:r>
              <w:rPr>
                <w:rFonts w:eastAsia="楷体_GB2312"/>
                <w:color w:val="000000"/>
              </w:rPr>
              <w:t>1/</w:t>
            </w:r>
            <w:r>
              <w:rPr>
                <w:rFonts w:hint="eastAsia" w:eastAsia="楷体_GB2312"/>
                <w:color w:val="000000"/>
              </w:rPr>
              <w:t>08</w:t>
            </w:r>
            <w:r>
              <w:rPr>
                <w:rFonts w:eastAsia="楷体_GB2312"/>
                <w:color w:val="000000"/>
              </w:rPr>
              <w:t>/</w:t>
            </w:r>
            <w:r>
              <w:rPr>
                <w:rFonts w:hint="eastAsia" w:eastAsia="楷体_GB2312"/>
                <w:color w:val="000000"/>
              </w:rPr>
              <w:t>04</w:t>
            </w:r>
          </w:p>
        </w:tc>
      </w:tr>
    </w:tbl>
    <w:p>
      <w:pPr>
        <w:spacing w:line="360" w:lineRule="exact"/>
        <w:rPr>
          <w:rFonts w:eastAsia="楷体_GB2312"/>
          <w:color w:val="000000"/>
        </w:rPr>
      </w:pPr>
    </w:p>
    <w:p>
      <w:pPr>
        <w:pStyle w:val="2"/>
        <w:snapToGrid w:val="0"/>
        <w:spacing w:before="0" w:after="0" w:line="360" w:lineRule="atLeast"/>
        <w:jc w:val="center"/>
        <w:rPr>
          <w:rFonts w:ascii="楷体_GB2312" w:eastAsia="楷体_GB2312"/>
          <w:color w:val="000000"/>
          <w:sz w:val="28"/>
        </w:rPr>
      </w:pPr>
    </w:p>
    <w:p>
      <w:pPr>
        <w:pStyle w:val="2"/>
        <w:snapToGrid w:val="0"/>
        <w:spacing w:before="0" w:after="0" w:line="360" w:lineRule="atLeast"/>
        <w:jc w:val="center"/>
        <w:rPr>
          <w:rFonts w:ascii="楷体_GB2312" w:eastAsia="楷体_GB2312"/>
          <w:color w:val="000000"/>
          <w:sz w:val="28"/>
        </w:rPr>
      </w:pPr>
      <w:r>
        <w:rPr>
          <w:rFonts w:hint="eastAsia" w:ascii="楷体_GB2312" w:eastAsia="楷体_GB2312"/>
          <w:color w:val="000000"/>
          <w:sz w:val="28"/>
        </w:rPr>
        <w:t>三、产品的相关费用及收益计算</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（一）与产品运作有关的费用</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、产品费用的种类</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1</w:t>
      </w:r>
      <w:r>
        <w:rPr>
          <w:rFonts w:hint="eastAsia" w:ascii="楷体_GB2312" w:eastAsia="楷体_GB2312"/>
          <w:color w:val="000000"/>
        </w:rPr>
        <w:t>）产品管理费；</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w:t>
      </w:r>
      <w:r>
        <w:rPr>
          <w:rFonts w:ascii="楷体_GB2312" w:eastAsia="楷体_GB2312"/>
          <w:color w:val="000000"/>
        </w:rPr>
        <w:t>2</w:t>
      </w:r>
      <w:r>
        <w:rPr>
          <w:rFonts w:hint="eastAsia" w:ascii="楷体_GB2312" w:eastAsia="楷体_GB2312"/>
          <w:color w:val="000000"/>
        </w:rPr>
        <w:t>）产品托管费；</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（4）按照国家有关规定可以列入的其它费用。</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法律法规另有规定时从其规定。</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、产品费用支付方式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（1）固定管理费和托管费的支付方式</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（2）其他相关服务机构费用：根据相关服务机构的收费标准进行收取。</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szCs w:val="21"/>
        </w:rPr>
        <w:t>（3）</w:t>
      </w:r>
      <w:r>
        <w:rPr>
          <w:rFonts w:hint="eastAsia" w:ascii="楷体_GB2312" w:eastAsia="楷体_GB2312"/>
          <w:b/>
          <w:bCs/>
          <w:color w:val="000000"/>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color w:val="000000"/>
        </w:rPr>
      </w:pPr>
      <w:r>
        <w:rPr>
          <w:rFonts w:hint="eastAsia" w:eastAsia="楷体_GB2312"/>
          <w:b/>
          <w:bCs/>
          <w:color w:val="000000"/>
        </w:rPr>
        <w:t>（二）产品收益计算</w:t>
      </w:r>
    </w:p>
    <w:p>
      <w:pPr>
        <w:snapToGrid w:val="0"/>
        <w:spacing w:line="360" w:lineRule="atLeast"/>
        <w:ind w:firstLine="359" w:firstLineChars="171"/>
        <w:rPr>
          <w:rFonts w:eastAsia="楷体_GB2312"/>
          <w:color w:val="000000"/>
        </w:rPr>
      </w:pPr>
      <w:r>
        <w:rPr>
          <w:rFonts w:hint="eastAsia" w:eastAsia="楷体_GB2312"/>
          <w:color w:val="000000"/>
        </w:rPr>
        <w:t>产品收益包括：</w:t>
      </w:r>
    </w:p>
    <w:p>
      <w:pPr>
        <w:snapToGrid w:val="0"/>
        <w:spacing w:line="360" w:lineRule="atLeast"/>
        <w:ind w:firstLine="359" w:firstLineChars="171"/>
        <w:rPr>
          <w:rFonts w:eastAsia="楷体_GB2312"/>
          <w:color w:val="000000"/>
        </w:rPr>
      </w:pPr>
      <w:r>
        <w:rPr>
          <w:rFonts w:eastAsia="楷体_GB2312"/>
          <w:color w:val="000000"/>
        </w:rPr>
        <w:t>1</w:t>
      </w:r>
      <w:r>
        <w:rPr>
          <w:rFonts w:hint="eastAsia" w:eastAsia="楷体_GB2312"/>
          <w:color w:val="000000"/>
        </w:rPr>
        <w:t>、本产品投资的债券收益；其他金融工具投资收益及银行存款利息收益。</w:t>
      </w:r>
    </w:p>
    <w:p>
      <w:pPr>
        <w:snapToGrid w:val="0"/>
        <w:spacing w:line="360" w:lineRule="atLeast"/>
        <w:ind w:left="19" w:firstLine="338" w:firstLineChars="161"/>
        <w:rPr>
          <w:rFonts w:eastAsia="楷体_GB2312"/>
          <w:color w:val="000000"/>
        </w:rPr>
      </w:pPr>
      <w:r>
        <w:rPr>
          <w:rFonts w:eastAsia="楷体_GB2312"/>
          <w:color w:val="000000"/>
        </w:rPr>
        <w:t>2</w:t>
      </w:r>
      <w:r>
        <w:rPr>
          <w:rFonts w:hint="eastAsia" w:eastAsia="楷体_GB2312"/>
          <w:color w:val="000000"/>
        </w:rPr>
        <w:t>、业绩比较基准（</w:t>
      </w:r>
      <w:r>
        <w:rPr>
          <w:rFonts w:eastAsia="楷体_GB2312"/>
          <w:color w:val="000000"/>
        </w:rPr>
        <w:t>R</w:t>
      </w:r>
      <w:r>
        <w:rPr>
          <w:rFonts w:hint="eastAsia" w:eastAsia="楷体_GB2312"/>
          <w:color w:val="000000"/>
        </w:rPr>
        <w:t>）：募集期及开放期内业绩比较基准详见常熟农商银行发布的公告。</w:t>
      </w:r>
      <w:r>
        <w:rPr>
          <w:rFonts w:hint="eastAsia" w:eastAsia="楷体_GB2312"/>
          <w:b/>
          <w:bCs/>
          <w:color w:val="000000"/>
        </w:rPr>
        <w:t>业绩比较基准仅供投资者参考，不构成</w:t>
      </w:r>
      <w:r>
        <w:rPr>
          <w:rFonts w:hint="eastAsia" w:eastAsia="楷体_GB2312"/>
          <w:b/>
          <w:bCs/>
          <w:color w:val="000000"/>
          <w:lang w:val="en-US" w:eastAsia="zh-CN"/>
        </w:rPr>
        <w:t>常熟农商银行</w:t>
      </w:r>
      <w:r>
        <w:rPr>
          <w:rFonts w:hint="eastAsia" w:eastAsia="楷体_GB2312"/>
          <w:b/>
          <w:bCs/>
          <w:color w:val="000000"/>
        </w:rPr>
        <w:t>对</w:t>
      </w:r>
      <w:r>
        <w:rPr>
          <w:rFonts w:hint="eastAsia" w:eastAsia="楷体_GB2312"/>
          <w:b/>
          <w:bCs/>
          <w:color w:val="000000"/>
          <w:lang w:val="en-US" w:eastAsia="zh-CN"/>
        </w:rPr>
        <w:t>本理财</w:t>
      </w:r>
      <w:r>
        <w:rPr>
          <w:rFonts w:hint="eastAsia" w:eastAsia="楷体_GB2312"/>
          <w:b/>
          <w:bCs/>
          <w:color w:val="000000"/>
        </w:rPr>
        <w:t>产品</w:t>
      </w:r>
      <w:r>
        <w:rPr>
          <w:rFonts w:hint="eastAsia" w:eastAsia="楷体_GB2312"/>
          <w:b/>
          <w:bCs/>
          <w:color w:val="000000"/>
          <w:lang w:val="en-US" w:eastAsia="zh-CN"/>
        </w:rPr>
        <w:t>投资收益</w:t>
      </w:r>
      <w:r>
        <w:rPr>
          <w:rFonts w:hint="eastAsia" w:eastAsia="楷体_GB2312"/>
          <w:b/>
          <w:bCs/>
          <w:color w:val="000000"/>
        </w:rPr>
        <w:t>的承诺，投资者的实际收益由产品净值决定。</w:t>
      </w:r>
    </w:p>
    <w:p>
      <w:pPr>
        <w:snapToGrid w:val="0"/>
        <w:spacing w:line="360" w:lineRule="atLeast"/>
        <w:ind w:left="19" w:firstLine="338" w:firstLineChars="161"/>
        <w:rPr>
          <w:rFonts w:eastAsia="楷体_GB2312"/>
          <w:color w:val="000000"/>
        </w:rPr>
      </w:pPr>
      <w:r>
        <w:rPr>
          <w:rFonts w:eastAsia="楷体_GB2312"/>
          <w:color w:val="000000"/>
        </w:rPr>
        <w:t>3</w:t>
      </w:r>
      <w:r>
        <w:rPr>
          <w:rFonts w:hint="eastAsia" w:eastAsia="楷体_GB2312"/>
          <w:color w:val="000000"/>
        </w:rPr>
        <w:t>、业绩报酬：如赎回日产品收益（扣除托管费、固定管理费等相关费用）超过业绩基准时，</w:t>
      </w:r>
      <w:r>
        <w:rPr>
          <w:rFonts w:hint="eastAsia" w:ascii="Times New Roman" w:hAnsi="Times New Roman" w:eastAsia="楷体_GB2312"/>
          <w:color w:val="000000"/>
        </w:rPr>
        <w:t>超额部分的8</w:t>
      </w:r>
      <w:r>
        <w:rPr>
          <w:rFonts w:ascii="Times New Roman" w:hAnsi="Times New Roman" w:eastAsia="楷体_GB2312"/>
          <w:color w:val="000000"/>
        </w:rPr>
        <w:t>0</w:t>
      </w:r>
      <w:r>
        <w:rPr>
          <w:rFonts w:hint="eastAsia" w:ascii="Times New Roman" w:hAnsi="Times New Roman" w:eastAsia="楷体_GB2312"/>
          <w:color w:val="000000"/>
        </w:rPr>
        <w:t>%作为业绩报酬由管理人收取。</w:t>
      </w:r>
    </w:p>
    <w:p>
      <w:pPr>
        <w:snapToGrid w:val="0"/>
        <w:spacing w:line="360" w:lineRule="atLeast"/>
        <w:ind w:firstLine="420" w:firstLineChars="200"/>
        <w:rPr>
          <w:rFonts w:eastAsia="楷体_GB2312"/>
          <w:color w:val="000000"/>
        </w:rPr>
      </w:pPr>
      <w:r>
        <w:rPr>
          <w:rFonts w:hint="eastAsia" w:eastAsia="楷体_GB2312"/>
          <w:color w:val="000000"/>
        </w:rPr>
        <w:t>扣除托管费、固定管理费等相关费用后，投资者赎回日产品收益率（</w:t>
      </w:r>
      <w:r>
        <w:rPr>
          <w:rFonts w:eastAsia="楷体_GB2312"/>
          <w:color w:val="000000"/>
        </w:rPr>
        <w:t>r</w:t>
      </w:r>
      <w:r>
        <w:rPr>
          <w:rFonts w:hint="eastAsia" w:eastAsia="楷体_GB2312"/>
          <w:color w:val="000000"/>
        </w:rPr>
        <w:t>），收益分配存在下面三种情况：</w:t>
      </w:r>
    </w:p>
    <w:p>
      <w:pPr>
        <w:snapToGrid w:val="0"/>
        <w:spacing w:line="360" w:lineRule="atLeast"/>
        <w:ind w:left="19" w:firstLine="401"/>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w:t>
      </w:r>
      <w:r>
        <w:rPr>
          <w:rFonts w:eastAsia="楷体_GB2312"/>
          <w:color w:val="000000"/>
        </w:rPr>
        <w:t>r&gt;R</w:t>
      </w:r>
      <w:r>
        <w:rPr>
          <w:rFonts w:hint="eastAsia" w:eastAsia="楷体_GB2312"/>
          <w:color w:val="000000"/>
        </w:rPr>
        <w:t>，则常熟农商银行实际收取业绩报酬的年化比率为（</w:t>
      </w:r>
      <w:r>
        <w:rPr>
          <w:rFonts w:eastAsia="楷体_GB2312"/>
          <w:color w:val="000000"/>
        </w:rPr>
        <w:t>r-R</w:t>
      </w:r>
      <w:r>
        <w:rPr>
          <w:rFonts w:hint="eastAsia" w:eastAsia="楷体_GB2312"/>
          <w:color w:val="000000"/>
        </w:rPr>
        <w:t>）*</w:t>
      </w:r>
      <w:r>
        <w:rPr>
          <w:rFonts w:eastAsia="楷体_GB2312"/>
          <w:color w:val="000000"/>
        </w:rPr>
        <w:t>80%</w:t>
      </w:r>
      <w:r>
        <w:rPr>
          <w:rFonts w:hint="eastAsia" w:eastAsia="楷体_GB2312"/>
          <w:color w:val="000000"/>
        </w:rPr>
        <w:t>，</w:t>
      </w:r>
      <w:r>
        <w:rPr>
          <w:rFonts w:hint="eastAsia" w:ascii="Times New Roman" w:hAnsi="Times New Roman" w:eastAsia="楷体_GB2312"/>
          <w:color w:val="000000"/>
        </w:rPr>
        <w:t>投资者实际收益为R+</w:t>
      </w:r>
      <w:r>
        <w:rPr>
          <w:rFonts w:hint="eastAsia" w:eastAsia="楷体_GB2312"/>
          <w:color w:val="000000"/>
        </w:rPr>
        <w:t>（</w:t>
      </w:r>
      <w:r>
        <w:rPr>
          <w:rFonts w:eastAsia="楷体_GB2312"/>
          <w:color w:val="000000"/>
        </w:rPr>
        <w:t>r-R</w:t>
      </w:r>
      <w:r>
        <w:rPr>
          <w:rFonts w:hint="eastAsia" w:eastAsia="楷体_GB2312"/>
          <w:color w:val="000000"/>
        </w:rPr>
        <w:t>）*</w:t>
      </w:r>
      <w:r>
        <w:rPr>
          <w:rFonts w:eastAsia="楷体_GB2312"/>
          <w:color w:val="000000"/>
        </w:rPr>
        <w:t>20</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w:t>
      </w:r>
      <w:r>
        <w:rPr>
          <w:rFonts w:eastAsia="楷体_GB2312"/>
          <w:color w:val="000000"/>
        </w:rPr>
        <w:t>0&lt;r</w:t>
      </w:r>
      <w:r>
        <w:rPr>
          <w:rFonts w:hint="eastAsia" w:eastAsia="楷体_GB2312"/>
          <w:color w:val="000000"/>
        </w:rPr>
        <w:t>≤</w:t>
      </w:r>
      <w:r>
        <w:rPr>
          <w:rFonts w:eastAsia="楷体_GB2312"/>
          <w:color w:val="000000"/>
        </w:rPr>
        <w:t>R</w:t>
      </w:r>
      <w:r>
        <w:rPr>
          <w:rFonts w:hint="eastAsia" w:eastAsia="楷体_GB2312"/>
          <w:color w:val="000000"/>
        </w:rPr>
        <w:t>，投资者实际收益为</w:t>
      </w:r>
      <w:r>
        <w:rPr>
          <w:rFonts w:eastAsia="楷体_GB2312"/>
          <w:color w:val="000000"/>
        </w:rPr>
        <w:t>r</w:t>
      </w:r>
      <w:r>
        <w:rPr>
          <w:rFonts w:hint="eastAsia" w:eastAsia="楷体_GB2312"/>
          <w:color w:val="000000"/>
        </w:rPr>
        <w:t>，常熟农商银行不收取业绩报酬。</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3</w:t>
      </w:r>
      <w:r>
        <w:rPr>
          <w:rFonts w:hint="eastAsia" w:eastAsia="楷体_GB2312"/>
          <w:color w:val="000000"/>
        </w:rPr>
        <w:t>：</w:t>
      </w:r>
      <w:r>
        <w:rPr>
          <w:rFonts w:eastAsia="楷体_GB2312"/>
          <w:color w:val="000000"/>
        </w:rPr>
        <w:t>r&lt;0</w:t>
      </w:r>
      <w:r>
        <w:rPr>
          <w:rFonts w:hint="eastAsia" w:eastAsia="楷体_GB2312"/>
          <w:color w:val="000000"/>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color w:val="000000"/>
        </w:rPr>
      </w:pPr>
      <w:r>
        <w:rPr>
          <w:rFonts w:hint="eastAsia" w:eastAsia="楷体_GB2312"/>
          <w:b/>
          <w:bCs/>
          <w:color w:val="000000"/>
        </w:rPr>
        <w:t>收益计算示例：</w:t>
      </w:r>
    </w:p>
    <w:p>
      <w:pPr>
        <w:snapToGrid w:val="0"/>
        <w:spacing w:line="360" w:lineRule="atLeast"/>
        <w:ind w:firstLine="420" w:firstLineChars="200"/>
        <w:rPr>
          <w:rFonts w:eastAsia="楷体_GB2312"/>
          <w:color w:val="000000"/>
        </w:rPr>
      </w:pPr>
      <w:r>
        <w:rPr>
          <w:rFonts w:hint="eastAsia" w:eastAsia="楷体_GB2312"/>
          <w:color w:val="000000"/>
        </w:rPr>
        <w:t>假设投资者申购本产品</w:t>
      </w:r>
      <w:r>
        <w:rPr>
          <w:rFonts w:eastAsia="楷体_GB2312"/>
          <w:color w:val="000000"/>
        </w:rPr>
        <w:t>5</w:t>
      </w:r>
      <w:r>
        <w:rPr>
          <w:rFonts w:hint="eastAsia" w:eastAsia="楷体_GB2312"/>
          <w:color w:val="000000"/>
        </w:rPr>
        <w:t>万元，公布的182天业绩比较基准为</w:t>
      </w:r>
      <w:r>
        <w:rPr>
          <w:rFonts w:eastAsia="楷体_GB2312"/>
          <w:color w:val="000000"/>
        </w:rPr>
        <w:t>4.50%</w:t>
      </w:r>
      <w:r>
        <w:rPr>
          <w:rFonts w:hint="eastAsia" w:eastAsia="楷体_GB2312"/>
          <w:color w:val="000000"/>
        </w:rPr>
        <w:t>，假设申购确认时的产品净值为</w:t>
      </w:r>
      <w:r>
        <w:rPr>
          <w:rFonts w:eastAsia="楷体_GB2312"/>
          <w:color w:val="000000"/>
        </w:rPr>
        <w:t>1.00034567</w:t>
      </w:r>
      <w:r>
        <w:rPr>
          <w:rFonts w:hint="eastAsia" w:eastAsia="楷体_GB2312"/>
          <w:color w:val="000000"/>
        </w:rPr>
        <w:t>，投资者确认份额为</w:t>
      </w:r>
      <w:r>
        <w:rPr>
          <w:rFonts w:eastAsia="楷体_GB2312"/>
          <w:color w:val="000000"/>
        </w:rPr>
        <w:t>49982.72</w:t>
      </w:r>
      <w:r>
        <w:rPr>
          <w:rFonts w:hint="eastAsia" w:eastAsia="楷体_GB2312"/>
          <w:color w:val="000000"/>
        </w:rPr>
        <w:t>份。投资者份额运作满182天自动赎回退出，根据赎回退出日的产品单位净值计算有以下</w:t>
      </w:r>
      <w:r>
        <w:rPr>
          <w:rFonts w:eastAsia="楷体_GB2312"/>
          <w:color w:val="000000"/>
        </w:rPr>
        <w:t>3</w:t>
      </w:r>
      <w:r>
        <w:rPr>
          <w:rFonts w:hint="eastAsia" w:eastAsia="楷体_GB2312"/>
          <w:color w:val="000000"/>
        </w:rPr>
        <w:t>种情形。</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1</w:t>
      </w:r>
      <w:r>
        <w:rPr>
          <w:rFonts w:hint="eastAsia" w:eastAsia="楷体_GB2312"/>
          <w:color w:val="000000"/>
        </w:rPr>
        <w:t>：假设赎回退出时产品单位净值为1.03216927，投资者份额持有期间净值增长率为</w:t>
      </w:r>
      <w:r>
        <w:rPr>
          <w:rFonts w:eastAsia="楷体_GB2312"/>
          <w:color w:val="000000"/>
        </w:rPr>
        <w:t>6.38%</w:t>
      </w:r>
      <w:r>
        <w:rPr>
          <w:rFonts w:hint="eastAsia" w:eastAsia="楷体_GB2312"/>
          <w:color w:val="000000"/>
        </w:rPr>
        <w:t>（大于业绩比较基准</w:t>
      </w:r>
      <w:r>
        <w:rPr>
          <w:rFonts w:eastAsia="楷体_GB2312"/>
          <w:color w:val="000000"/>
        </w:rPr>
        <w:t>4.50%</w:t>
      </w:r>
      <w:r>
        <w:rPr>
          <w:rFonts w:hint="eastAsia" w:eastAsia="楷体_GB2312"/>
          <w:color w:val="000000"/>
        </w:rPr>
        <w:t>），则常熟农商银行收取</w:t>
      </w:r>
      <w:r>
        <w:rPr>
          <w:rFonts w:eastAsia="楷体_GB2312"/>
          <w:color w:val="000000"/>
        </w:rPr>
        <w:t>1.5%</w:t>
      </w:r>
      <w:r>
        <w:rPr>
          <w:rFonts w:hint="eastAsia" w:eastAsia="楷体_GB2312"/>
          <w:color w:val="000000"/>
        </w:rPr>
        <w:t>的业绩报酬，投资者实际收益率为</w:t>
      </w:r>
      <w:r>
        <w:rPr>
          <w:rFonts w:eastAsia="楷体_GB2312"/>
          <w:color w:val="000000"/>
        </w:rPr>
        <w:t>4.88%</w:t>
      </w:r>
      <w:r>
        <w:rPr>
          <w:rFonts w:hint="eastAsia" w:eastAsia="楷体_GB2312"/>
          <w:color w:val="000000"/>
        </w:rPr>
        <w:t>。</w:t>
      </w:r>
    </w:p>
    <w:p>
      <w:pPr>
        <w:snapToGrid w:val="0"/>
        <w:spacing w:line="360" w:lineRule="atLeast"/>
        <w:ind w:firstLine="420" w:firstLineChars="200"/>
        <w:rPr>
          <w:rFonts w:eastAsia="楷体_GB2312"/>
          <w:color w:val="000000"/>
        </w:rPr>
      </w:pPr>
      <w:r>
        <w:rPr>
          <w:rFonts w:hint="eastAsia" w:eastAsia="楷体_GB2312"/>
          <w:color w:val="000000"/>
        </w:rPr>
        <w:t>情形</w:t>
      </w:r>
      <w:r>
        <w:rPr>
          <w:rFonts w:eastAsia="楷体_GB2312"/>
          <w:color w:val="000000"/>
        </w:rPr>
        <w:t>2</w:t>
      </w:r>
      <w:r>
        <w:rPr>
          <w:rFonts w:hint="eastAsia" w:eastAsia="楷体_GB2312"/>
          <w:color w:val="000000"/>
        </w:rPr>
        <w:t>：假设赎回退出时产品单位净值为1.01635723，投资者份额持有期间净值增长率为</w:t>
      </w:r>
      <w:r>
        <w:rPr>
          <w:rFonts w:eastAsia="楷体_GB2312"/>
          <w:color w:val="000000"/>
        </w:rPr>
        <w:t>3.21%</w:t>
      </w:r>
      <w:r>
        <w:rPr>
          <w:rFonts w:hint="eastAsia" w:eastAsia="楷体_GB2312"/>
          <w:color w:val="000000"/>
        </w:rPr>
        <w:t>，投资者按赎回退出时产品单位净值兑付，投资者实际收益为</w:t>
      </w:r>
      <w:r>
        <w:rPr>
          <w:rFonts w:eastAsia="楷体_GB2312"/>
          <w:color w:val="000000"/>
        </w:rPr>
        <w:t>3.21%</w:t>
      </w:r>
      <w:r>
        <w:rPr>
          <w:rFonts w:hint="eastAsia" w:eastAsia="楷体_GB2312"/>
          <w:color w:val="000000"/>
        </w:rPr>
        <w:t>，常熟农商银行无业绩报酬。</w:t>
      </w:r>
    </w:p>
    <w:p>
      <w:pPr>
        <w:snapToGrid w:val="0"/>
        <w:spacing w:line="360" w:lineRule="atLeast"/>
        <w:ind w:firstLine="420" w:firstLineChars="200"/>
        <w:rPr>
          <w:rFonts w:eastAsia="楷体_GB2312"/>
          <w:color w:val="000000"/>
        </w:rPr>
      </w:pPr>
      <w:r>
        <w:rPr>
          <w:rFonts w:hint="eastAsia" w:eastAsia="楷体_GB2312"/>
          <w:color w:val="000000"/>
        </w:rPr>
        <w:t>情形3：假设赎回退出时产品净值为0.99964735，投资者份额持有期限净值增长率</w:t>
      </w:r>
      <w:r>
        <w:rPr>
          <w:rFonts w:eastAsia="楷体_GB2312"/>
          <w:color w:val="000000"/>
        </w:rPr>
        <w:t>-0.14%</w:t>
      </w:r>
      <w:r>
        <w:rPr>
          <w:rFonts w:hint="eastAsia" w:eastAsia="楷体_GB2312"/>
          <w:color w:val="000000"/>
        </w:rPr>
        <w:t>，投资者按赎回退出日产品单位净值兑付，投资者无收益，实际发生本金损失</w:t>
      </w:r>
      <w:r>
        <w:rPr>
          <w:rFonts w:eastAsia="楷体_GB2312"/>
          <w:color w:val="000000"/>
        </w:rPr>
        <w:t>0.14%</w:t>
      </w:r>
      <w:r>
        <w:rPr>
          <w:rFonts w:hint="eastAsia" w:eastAsia="楷体_GB2312"/>
          <w:color w:val="000000"/>
        </w:rPr>
        <w:t>，常熟农商银行无业绩报酬。</w:t>
      </w:r>
    </w:p>
    <w:p>
      <w:pPr>
        <w:snapToGrid w:val="0"/>
        <w:spacing w:line="360" w:lineRule="atLeast"/>
        <w:ind w:firstLine="361" w:firstLineChars="171"/>
        <w:rPr>
          <w:rFonts w:ascii="Times New Roman" w:hAnsi="Times New Roman" w:eastAsia="楷体_GB2312"/>
          <w:b/>
          <w:bCs/>
          <w:color w:val="000000"/>
        </w:rPr>
      </w:pPr>
      <w:r>
        <w:rPr>
          <w:rFonts w:hint="eastAsia" w:ascii="Times New Roman" w:hAnsi="Times New Roman" w:eastAsia="楷体_GB2312"/>
          <w:b/>
          <w:bCs/>
          <w:color w:val="000000"/>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color w:val="000000"/>
        </w:rPr>
      </w:pPr>
      <w:bookmarkStart w:id="0" w:name="_Toc24442816"/>
      <w:bookmarkStart w:id="1" w:name="_Toc24442931"/>
      <w:bookmarkStart w:id="2" w:name="_Toc37147666"/>
      <w:bookmarkStart w:id="3" w:name="_Toc24442988"/>
    </w:p>
    <w:p>
      <w:pPr>
        <w:pStyle w:val="2"/>
        <w:snapToGrid w:val="0"/>
        <w:spacing w:before="0" w:after="0" w:line="360" w:lineRule="atLeast"/>
        <w:jc w:val="center"/>
        <w:rPr>
          <w:rFonts w:eastAsia="楷体_GB2312"/>
          <w:color w:val="000000"/>
          <w:sz w:val="28"/>
        </w:rPr>
      </w:pPr>
      <w:r>
        <w:rPr>
          <w:rFonts w:hint="eastAsia" w:eastAsia="楷体_GB2312"/>
          <w:color w:val="000000"/>
          <w:sz w:val="28"/>
        </w:rPr>
        <w:t>四、产品的投资范围和投资策略</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（一）投资范围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本理财产品为</w:t>
      </w:r>
      <w:r>
        <w:rPr>
          <w:rFonts w:hint="eastAsia" w:ascii="楷体_GB2312" w:hAnsi="Times New Roman" w:eastAsia="楷体_GB2312"/>
          <w:b/>
          <w:bCs/>
          <w:color w:val="000000"/>
        </w:rPr>
        <w:t>固定收益类产品，</w:t>
      </w:r>
      <w:r>
        <w:rPr>
          <w:rFonts w:hint="eastAsia" w:ascii="楷体_GB2312" w:hAnsi="Times New Roman" w:eastAsia="楷体_GB2312"/>
          <w:color w:val="000000"/>
        </w:rPr>
        <w:t>募集的资金主要投资于国债、央行票据、金融债、信用等级在 AA（含）以上的债券</w:t>
      </w:r>
      <w:r>
        <w:rPr>
          <w:rFonts w:hint="eastAsia" w:ascii="楷体_GB2312" w:hAnsi="Times New Roman" w:eastAsia="楷体_GB2312"/>
          <w:color w:val="000000"/>
          <w:lang w:eastAsia="zh-CN"/>
        </w:rPr>
        <w:t>等债券资产</w:t>
      </w:r>
      <w:r>
        <w:rPr>
          <w:rFonts w:hint="eastAsia" w:ascii="楷体_GB2312" w:hAnsi="Times New Roman" w:eastAsia="楷体_GB2312"/>
          <w:color w:val="000000"/>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本产品拟配置资产的比例为存款、货币基金等现金类资产</w:t>
      </w:r>
      <w:r>
        <w:rPr>
          <w:rFonts w:hint="eastAsia" w:ascii="楷体_GB2312" w:hAnsi="Times New Roman" w:eastAsia="楷体_GB2312"/>
          <w:b/>
          <w:bCs/>
          <w:color w:val="000000"/>
          <w:highlight w:val="none"/>
        </w:rPr>
        <w:t xml:space="preserve"> 0-30%</w:t>
      </w:r>
      <w:r>
        <w:rPr>
          <w:rFonts w:hint="eastAsia" w:ascii="楷体_GB2312" w:hAnsi="Times New Roman" w:eastAsia="楷体_GB2312"/>
          <w:color w:val="000000"/>
          <w:highlight w:val="none"/>
        </w:rPr>
        <w:t>，债券资产、同业存单、同业拆借、回购、债券基金</w:t>
      </w:r>
      <w:r>
        <w:rPr>
          <w:rFonts w:ascii="楷体_GB2312" w:hAnsi="Times New Roman" w:eastAsia="楷体_GB2312"/>
          <w:b/>
          <w:bCs/>
          <w:color w:val="000000"/>
          <w:highlight w:val="none"/>
        </w:rPr>
        <w:t>3</w:t>
      </w:r>
      <w:r>
        <w:rPr>
          <w:rFonts w:hint="eastAsia" w:ascii="楷体_GB2312" w:hAnsi="Times New Roman" w:eastAsia="楷体_GB2312"/>
          <w:b/>
          <w:bCs/>
          <w:color w:val="000000"/>
          <w:highlight w:val="none"/>
        </w:rPr>
        <w:t>0-100%</w:t>
      </w:r>
      <w:r>
        <w:rPr>
          <w:rFonts w:hint="eastAsia" w:ascii="楷体_GB2312" w:hAnsi="Times New Roman" w:eastAsia="楷体_GB2312"/>
          <w:color w:val="000000"/>
          <w:highlight w:val="none"/>
        </w:rPr>
        <w:t>，同业借款、理财直融工具、债权融资计划及其他符合监管要求的债权类资产</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，股票型基金、混合型基金等权益类资产，以及金融衍生品等</w:t>
      </w:r>
      <w:r>
        <w:rPr>
          <w:rFonts w:hint="eastAsia" w:ascii="楷体_GB2312" w:hAnsi="Times New Roman" w:eastAsia="楷体_GB2312"/>
          <w:b/>
          <w:bCs/>
          <w:color w:val="000000"/>
          <w:highlight w:val="none"/>
        </w:rPr>
        <w:t>0-20%</w:t>
      </w:r>
      <w:r>
        <w:rPr>
          <w:rFonts w:hint="eastAsia" w:ascii="楷体_GB2312" w:hAnsi="Times New Roman" w:eastAsia="楷体_GB2312"/>
          <w:color w:val="000000"/>
          <w:highlight w:val="none"/>
        </w:rPr>
        <w:t>。</w:t>
      </w:r>
    </w:p>
    <w:p>
      <w:pPr>
        <w:snapToGrid w:val="0"/>
        <w:spacing w:line="360" w:lineRule="exact"/>
        <w:ind w:firstLine="420" w:firstLineChars="200"/>
        <w:rPr>
          <w:rFonts w:ascii="楷体_GB2312" w:hAnsi="Times New Roman" w:eastAsia="楷体_GB2312"/>
          <w:color w:val="000000"/>
          <w:highlight w:val="none"/>
        </w:rPr>
      </w:pPr>
      <w:r>
        <w:rPr>
          <w:rFonts w:hint="eastAsia" w:ascii="楷体_GB2312" w:hAnsi="Times New Roman" w:eastAsia="楷体_GB2312"/>
          <w:color w:val="000000"/>
          <w:highlight w:val="none"/>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本产品总资产不超过本产品净资产的140%。</w:t>
      </w:r>
    </w:p>
    <w:p>
      <w:pPr>
        <w:snapToGrid w:val="0"/>
        <w:spacing w:line="360" w:lineRule="exact"/>
        <w:ind w:firstLine="420" w:firstLineChars="200"/>
        <w:rPr>
          <w:rFonts w:ascii="Times New Roman" w:hAnsi="Times New Roman" w:eastAsia="楷体_GB2312"/>
          <w:color w:val="000000"/>
        </w:rPr>
      </w:pPr>
      <w:r>
        <w:rPr>
          <w:rFonts w:hint="eastAsia" w:ascii="Times New Roman" w:hAnsi="Times New Roman" w:eastAsia="楷体_GB2312"/>
          <w:color w:val="000000"/>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color w:val="000000"/>
        </w:rPr>
      </w:pPr>
      <w:r>
        <w:rPr>
          <w:rFonts w:hint="eastAsia" w:ascii="Times New Roman" w:hAnsi="Times New Roman" w:eastAsia="楷体_GB2312"/>
          <w:color w:val="000000"/>
        </w:rPr>
        <w:t>本产品配置资产包含</w:t>
      </w:r>
      <w:r>
        <w:rPr>
          <w:rFonts w:hint="eastAsia" w:ascii="Times New Roman" w:hAnsi="Times New Roman" w:eastAsia="楷体_GB2312"/>
          <w:b/>
          <w:bCs/>
          <w:color w:val="000000"/>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color w:val="000000"/>
          <w:szCs w:val="21"/>
        </w:rPr>
        <w:t>由于自然灾害、政府管制、现行法律或法规变更、通讯延迟或中断以及其他特殊情况导致系统及网络无法正常运行</w:t>
      </w:r>
      <w:r>
        <w:rPr>
          <w:rFonts w:hint="eastAsia" w:ascii="Times New Roman" w:hAnsi="Times New Roman" w:eastAsia="楷体_GB2312"/>
          <w:b/>
          <w:bCs/>
          <w:color w:val="000000"/>
        </w:rPr>
        <w:t>，产生损失</w:t>
      </w:r>
      <w:r>
        <w:rPr>
          <w:rFonts w:hint="eastAsia" w:ascii="Times New Roman" w:hAnsi="Times New Roman" w:eastAsia="楷体_GB2312"/>
          <w:color w:val="000000"/>
        </w:rPr>
        <w:t>。</w:t>
      </w:r>
    </w:p>
    <w:p>
      <w:pPr>
        <w:snapToGrid w:val="0"/>
        <w:spacing w:line="360" w:lineRule="exact"/>
        <w:ind w:firstLine="422" w:firstLineChars="200"/>
        <w:rPr>
          <w:rFonts w:ascii="楷体_GB2312" w:eastAsia="楷体_GB2312"/>
          <w:color w:val="000000"/>
        </w:rPr>
      </w:pPr>
      <w:r>
        <w:rPr>
          <w:rFonts w:hint="eastAsia" w:ascii="楷体_GB2312" w:eastAsia="楷体_GB2312"/>
          <w:b/>
          <w:color w:val="000000"/>
        </w:rPr>
        <w:t>（二）投资策略</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color w:val="000000"/>
        </w:rPr>
      </w:pPr>
    </w:p>
    <w:p>
      <w:pPr>
        <w:pStyle w:val="2"/>
        <w:snapToGrid w:val="0"/>
        <w:spacing w:before="0" w:after="0" w:line="360" w:lineRule="atLeast"/>
        <w:jc w:val="center"/>
        <w:rPr>
          <w:rFonts w:eastAsia="楷体_GB2312"/>
          <w:color w:val="000000"/>
          <w:sz w:val="28"/>
          <w:szCs w:val="28"/>
        </w:rPr>
      </w:pPr>
      <w:r>
        <w:rPr>
          <w:rFonts w:hint="eastAsia" w:eastAsia="楷体_GB2312"/>
          <w:color w:val="000000"/>
          <w:sz w:val="28"/>
          <w:szCs w:val="28"/>
        </w:rPr>
        <w:t>五、</w:t>
      </w:r>
      <w:r>
        <w:rPr>
          <w:rFonts w:eastAsia="楷体_GB2312"/>
          <w:color w:val="000000"/>
          <w:sz w:val="28"/>
          <w:szCs w:val="28"/>
        </w:rPr>
        <w:t>产品的</w:t>
      </w:r>
      <w:r>
        <w:rPr>
          <w:rFonts w:hint="eastAsia" w:eastAsia="楷体_GB2312"/>
          <w:color w:val="000000"/>
          <w:sz w:val="28"/>
          <w:szCs w:val="28"/>
        </w:rPr>
        <w:t>提前</w:t>
      </w:r>
      <w:r>
        <w:rPr>
          <w:rFonts w:eastAsia="楷体_GB2312"/>
          <w:color w:val="000000"/>
          <w:sz w:val="28"/>
          <w:szCs w:val="28"/>
        </w:rPr>
        <w:t>终止</w:t>
      </w:r>
    </w:p>
    <w:p>
      <w:pPr>
        <w:spacing w:beforeLines="0" w:afterLines="0"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（一）出现以下任一情况，常熟农商银行有权提前终止本理财产品：</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1</w:t>
      </w:r>
      <w:r>
        <w:rPr>
          <w:rFonts w:hint="eastAsia" w:ascii="楷体_GB2312" w:eastAsia="楷体_GB2312"/>
          <w:b/>
          <w:bCs/>
          <w:color w:val="000000"/>
          <w:szCs w:val="21"/>
        </w:rPr>
        <w:t>、若本理财产品当日份额低于</w:t>
      </w:r>
      <w:r>
        <w:rPr>
          <w:rFonts w:ascii="楷体_GB2312" w:eastAsia="楷体_GB2312"/>
          <w:b/>
          <w:bCs/>
          <w:color w:val="000000"/>
          <w:szCs w:val="21"/>
          <w:u w:val="single"/>
        </w:rPr>
        <w:t>500</w:t>
      </w:r>
      <w:r>
        <w:rPr>
          <w:rFonts w:hint="eastAsia" w:ascii="楷体_GB2312" w:eastAsia="楷体_GB2312"/>
          <w:b/>
          <w:bCs/>
          <w:color w:val="000000"/>
          <w:szCs w:val="21"/>
          <w:u w:val="single"/>
        </w:rPr>
        <w:t>万</w:t>
      </w:r>
      <w:r>
        <w:rPr>
          <w:rFonts w:hint="eastAsia" w:ascii="楷体_GB2312" w:eastAsia="楷体_GB2312"/>
          <w:b/>
          <w:bCs/>
          <w:color w:val="000000"/>
          <w:szCs w:val="21"/>
        </w:rPr>
        <w:t>份时；</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2</w:t>
      </w:r>
      <w:r>
        <w:rPr>
          <w:rFonts w:hint="eastAsia" w:ascii="楷体_GB2312" w:eastAsia="楷体_GB2312"/>
          <w:b/>
          <w:bCs/>
          <w:color w:val="000000"/>
          <w:szCs w:val="21"/>
        </w:rPr>
        <w:t>、监管机构要求或法律法规规定的其它情形导致本产品终止；</w:t>
      </w:r>
    </w:p>
    <w:p>
      <w:pPr>
        <w:spacing w:beforeLines="0" w:afterLines="0" w:line="360" w:lineRule="exact"/>
        <w:ind w:firstLine="422" w:firstLineChars="200"/>
        <w:rPr>
          <w:rFonts w:ascii="楷体_GB2312" w:eastAsia="楷体_GB2312"/>
          <w:b/>
          <w:bCs/>
          <w:color w:val="000000"/>
          <w:szCs w:val="21"/>
        </w:rPr>
      </w:pPr>
      <w:r>
        <w:rPr>
          <w:rFonts w:ascii="楷体_GB2312" w:eastAsia="楷体_GB2312"/>
          <w:b/>
          <w:bCs/>
          <w:color w:val="000000"/>
          <w:szCs w:val="21"/>
        </w:rPr>
        <w:t>3</w:t>
      </w:r>
      <w:r>
        <w:rPr>
          <w:rFonts w:hint="eastAsia" w:ascii="楷体_GB2312" w:eastAsia="楷体_GB2312"/>
          <w:b/>
          <w:bCs/>
          <w:color w:val="000000"/>
          <w:szCs w:val="21"/>
        </w:rPr>
        <w:t>、管理人根据市场情况认为需要提前终止本产品。</w:t>
      </w:r>
    </w:p>
    <w:p>
      <w:pPr>
        <w:autoSpaceDE w:val="0"/>
        <w:autoSpaceDN w:val="0"/>
        <w:adjustRightInd w:val="0"/>
        <w:spacing w:beforeLines="0" w:afterLines="0" w:line="360" w:lineRule="atLeast"/>
        <w:ind w:firstLine="420" w:firstLineChars="200"/>
        <w:jc w:val="left"/>
        <w:rPr>
          <w:color w:val="000000"/>
        </w:rPr>
      </w:pPr>
      <w:r>
        <w:rPr>
          <w:rFonts w:hint="eastAsia" w:eastAsia="楷体_GB2312"/>
          <w:bCs/>
          <w:color w:val="000000"/>
        </w:rPr>
        <w:t>（二）若常熟农商银行宣布提前终止本理财产品，将提</w:t>
      </w:r>
      <w:r>
        <w:rPr>
          <w:rFonts w:hint="eastAsia" w:eastAsia="楷体_GB2312"/>
          <w:bCs/>
          <w:color w:val="000000"/>
          <w:lang w:eastAsia="zh-CN"/>
        </w:rPr>
        <w:t>前</w:t>
      </w:r>
      <w:r>
        <w:rPr>
          <w:rFonts w:hint="eastAsia" w:eastAsia="楷体_GB2312"/>
          <w:bCs/>
          <w:color w:val="000000"/>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823"/>
      <w:bookmarkStart w:id="5" w:name="_Toc37147671"/>
      <w:bookmarkStart w:id="6" w:name="_Toc24442938"/>
      <w:bookmarkStart w:id="7" w:name="_Toc24442995"/>
    </w:p>
    <w:p>
      <w:pPr>
        <w:pStyle w:val="2"/>
        <w:snapToGrid w:val="0"/>
        <w:spacing w:before="0" w:after="0" w:line="360" w:lineRule="atLeast"/>
        <w:jc w:val="center"/>
        <w:rPr>
          <w:rFonts w:eastAsia="楷体_GB2312"/>
          <w:color w:val="000000"/>
          <w:sz w:val="28"/>
        </w:rPr>
      </w:pPr>
    </w:p>
    <w:p>
      <w:pPr>
        <w:pStyle w:val="2"/>
        <w:spacing w:before="0" w:after="0" w:line="360" w:lineRule="atLeast"/>
        <w:jc w:val="center"/>
        <w:rPr>
          <w:rFonts w:eastAsia="楷体_GB2312"/>
          <w:color w:val="000000"/>
          <w:sz w:val="28"/>
        </w:rPr>
      </w:pPr>
      <w:r>
        <w:rPr>
          <w:rFonts w:hint="eastAsia" w:eastAsia="楷体_GB2312"/>
          <w:color w:val="000000"/>
          <w:sz w:val="28"/>
        </w:rPr>
        <w:t>六、产品估值</w:t>
      </w:r>
      <w:bookmarkEnd w:id="4"/>
      <w:bookmarkEnd w:id="5"/>
      <w:bookmarkEnd w:id="6"/>
      <w:bookmarkEnd w:id="7"/>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（一）产品估值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（二）估值方法</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1</w:t>
      </w:r>
      <w:r>
        <w:rPr>
          <w:rFonts w:hint="eastAsia" w:ascii="楷体_GB2312" w:hAnsi="Times New Roman" w:eastAsia="楷体_GB2312"/>
          <w:color w:val="000000"/>
        </w:rPr>
        <w:t>、货币市场工具类的估值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）银行存款以本金列示，逐日计提利息；</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）货币基金以当日基金净值估值。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2</w:t>
      </w:r>
      <w:r>
        <w:rPr>
          <w:rFonts w:hint="eastAsia" w:ascii="楷体_GB2312" w:hAnsi="Times New Roman" w:eastAsia="楷体_GB2312"/>
          <w:color w:val="000000"/>
        </w:rPr>
        <w:t>、债券类的估值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）以持有到期为目的持有的债券按摊余成本法估值；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）以交易为目的持有的债券按市价法估值。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3</w:t>
      </w:r>
      <w:r>
        <w:rPr>
          <w:rFonts w:hint="eastAsia" w:ascii="楷体_GB2312" w:hAnsi="Times New Roman" w:eastAsia="楷体_GB2312"/>
          <w:color w:val="000000"/>
        </w:rPr>
        <w:t>、债权类项目的估值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1</w:t>
      </w:r>
      <w:r>
        <w:rPr>
          <w:rFonts w:hint="eastAsia" w:ascii="楷体_GB2312" w:hAnsi="Times New Roman" w:eastAsia="楷体_GB2312"/>
          <w:color w:val="000000"/>
        </w:rPr>
        <w:t>）非标债权类项目以摊余成本法估值；</w:t>
      </w:r>
    </w:p>
    <w:p>
      <w:pPr>
        <w:snapToGrid w:val="0"/>
        <w:spacing w:line="360" w:lineRule="exact"/>
        <w:ind w:firstLine="420" w:firstLineChars="200"/>
        <w:rPr>
          <w:rFonts w:ascii="楷体_GB2312" w:hAnsi="Times New Roman" w:eastAsia="楷体_GB2312"/>
          <w:color w:val="000000"/>
        </w:rPr>
      </w:pPr>
      <w:r>
        <w:rPr>
          <w:rFonts w:hint="eastAsia" w:ascii="楷体_GB2312" w:hAnsi="Times New Roman" w:eastAsia="楷体_GB2312"/>
          <w:color w:val="000000"/>
        </w:rPr>
        <w:t>（</w:t>
      </w:r>
      <w:r>
        <w:rPr>
          <w:rFonts w:ascii="楷体_GB2312" w:hAnsi="Times New Roman" w:eastAsia="楷体_GB2312"/>
          <w:color w:val="000000"/>
        </w:rPr>
        <w:t>2</w:t>
      </w:r>
      <w:r>
        <w:rPr>
          <w:rFonts w:hint="eastAsia" w:ascii="楷体_GB2312" w:hAnsi="Times New Roman" w:eastAsia="楷体_GB2312"/>
          <w:color w:val="000000"/>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4</w:t>
      </w:r>
      <w:r>
        <w:rPr>
          <w:rFonts w:hint="eastAsia" w:ascii="楷体_GB2312" w:hAnsi="Times New Roman" w:eastAsia="楷体_GB2312"/>
          <w:color w:val="000000"/>
        </w:rPr>
        <w:t>、其他资产类估值：采用监管及市场认可的估值方法计算公允价值。</w:t>
      </w:r>
    </w:p>
    <w:p>
      <w:pPr>
        <w:snapToGrid w:val="0"/>
        <w:spacing w:line="360" w:lineRule="exact"/>
        <w:ind w:firstLine="420" w:firstLineChars="200"/>
        <w:rPr>
          <w:rFonts w:ascii="楷体_GB2312" w:hAnsi="Times New Roman" w:eastAsia="楷体_GB2312"/>
          <w:color w:val="000000"/>
        </w:rPr>
      </w:pPr>
      <w:r>
        <w:rPr>
          <w:rFonts w:ascii="楷体_GB2312" w:hAnsi="Times New Roman" w:eastAsia="楷体_GB2312"/>
          <w:color w:val="000000"/>
        </w:rPr>
        <w:t>5</w:t>
      </w:r>
      <w:r>
        <w:rPr>
          <w:rFonts w:hint="eastAsia" w:ascii="楷体_GB2312" w:hAnsi="Times New Roman" w:eastAsia="楷体_GB2312"/>
          <w:color w:val="000000"/>
        </w:rPr>
        <w:t>、国家有最新规定的，按其规定进行估值。</w:t>
      </w:r>
    </w:p>
    <w:p>
      <w:pPr>
        <w:snapToGrid w:val="0"/>
        <w:spacing w:line="360" w:lineRule="exact"/>
        <w:ind w:firstLine="420" w:firstLineChars="200"/>
        <w:rPr>
          <w:rFonts w:ascii="楷体_GB2312" w:eastAsia="楷体_GB2312"/>
          <w:color w:val="000000"/>
        </w:rPr>
      </w:pPr>
      <w:r>
        <w:rPr>
          <w:rFonts w:ascii="楷体_GB2312" w:hAnsi="Times New Roman" w:eastAsia="楷体_GB2312"/>
          <w:color w:val="000000"/>
        </w:rPr>
        <w:t>6</w:t>
      </w:r>
      <w:r>
        <w:rPr>
          <w:rFonts w:hint="eastAsia" w:ascii="楷体_GB2312" w:hAnsi="Times New Roman" w:eastAsia="楷体_GB2312"/>
          <w:color w:val="000000"/>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color w:val="000000"/>
        </w:rPr>
      </w:pPr>
      <w:r>
        <w:rPr>
          <w:rFonts w:hint="eastAsia" w:ascii="楷体_GB2312" w:eastAsia="楷体_GB2312"/>
          <w:b/>
          <w:color w:val="000000"/>
        </w:rPr>
        <w:t>（三）暂停估值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color w:val="000000"/>
        </w:rPr>
      </w:pPr>
    </w:p>
    <w:p>
      <w:pPr>
        <w:pStyle w:val="2"/>
        <w:spacing w:before="0" w:after="0" w:line="360" w:lineRule="atLeast"/>
        <w:jc w:val="center"/>
        <w:rPr>
          <w:rFonts w:eastAsia="楷体_GB2312"/>
          <w:color w:val="000000"/>
          <w:sz w:val="28"/>
          <w:szCs w:val="28"/>
        </w:rPr>
      </w:pPr>
      <w:r>
        <w:rPr>
          <w:rFonts w:hint="eastAsia" w:eastAsia="楷体_GB2312"/>
          <w:color w:val="000000"/>
          <w:sz w:val="28"/>
          <w:szCs w:val="28"/>
        </w:rPr>
        <w:t>七、产品托管</w:t>
      </w:r>
    </w:p>
    <w:p>
      <w:pPr>
        <w:snapToGrid w:val="0"/>
        <w:spacing w:line="360" w:lineRule="exact"/>
        <w:ind w:firstLine="420" w:firstLineChars="200"/>
        <w:rPr>
          <w:color w:val="000000"/>
        </w:rPr>
      </w:pPr>
      <w:r>
        <w:rPr>
          <w:rFonts w:ascii="楷体_GB2312" w:eastAsia="楷体_GB2312"/>
          <w:color w:val="000000"/>
          <w:szCs w:val="21"/>
        </w:rPr>
        <w:t>1</w:t>
      </w:r>
      <w:r>
        <w:rPr>
          <w:rFonts w:hint="eastAsia" w:ascii="楷体_GB2312" w:eastAsia="楷体_GB2312"/>
          <w:color w:val="000000"/>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、托管人职责</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(1)</w:t>
      </w:r>
      <w:r>
        <w:rPr>
          <w:rFonts w:hint="eastAsia" w:ascii="楷体_GB2312" w:eastAsia="楷体_GB2312"/>
          <w:color w:val="000000"/>
          <w:szCs w:val="21"/>
        </w:rPr>
        <w:t>安全保管理财产品财产；</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(2)</w:t>
      </w:r>
      <w:r>
        <w:rPr>
          <w:rFonts w:hint="eastAsia" w:ascii="楷体_GB2312" w:eastAsia="楷体_GB2312"/>
          <w:color w:val="000000"/>
          <w:szCs w:val="21"/>
        </w:rPr>
        <w:t>按照托管协议约定和产品管理人的投资指令，及时办理清算、交割事宜；</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(3)</w:t>
      </w:r>
      <w:r>
        <w:rPr>
          <w:rFonts w:hint="eastAsia" w:ascii="楷体_GB2312" w:eastAsia="楷体_GB2312"/>
          <w:color w:val="000000"/>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(4)</w:t>
      </w:r>
      <w:r>
        <w:rPr>
          <w:rFonts w:hint="eastAsia" w:ascii="楷体_GB2312" w:eastAsia="楷体_GB2312"/>
          <w:color w:val="000000"/>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color w:val="000000"/>
          <w:szCs w:val="21"/>
        </w:rPr>
      </w:pPr>
      <w:r>
        <w:rPr>
          <w:rFonts w:ascii="楷体_GB2312" w:eastAsia="楷体_GB2312"/>
          <w:color w:val="000000"/>
          <w:szCs w:val="21"/>
        </w:rPr>
        <w:t>(5)</w:t>
      </w:r>
      <w:r>
        <w:rPr>
          <w:rFonts w:hint="eastAsia" w:ascii="楷体_GB2312" w:eastAsia="楷体_GB2312"/>
          <w:color w:val="000000"/>
          <w:szCs w:val="21"/>
        </w:rPr>
        <w:t>国务院银行业监督管理机构规定的其他职责。</w:t>
      </w:r>
    </w:p>
    <w:p>
      <w:pPr>
        <w:snapToGrid w:val="0"/>
        <w:spacing w:line="360" w:lineRule="exact"/>
        <w:ind w:firstLine="420" w:firstLineChars="200"/>
        <w:rPr>
          <w:rFonts w:ascii="楷体_GB2312" w:eastAsia="楷体_GB2312"/>
          <w:color w:val="000000"/>
          <w:szCs w:val="21"/>
        </w:rPr>
      </w:pPr>
    </w:p>
    <w:p>
      <w:pPr>
        <w:pStyle w:val="2"/>
        <w:spacing w:before="0" w:after="0" w:line="360" w:lineRule="atLeast"/>
        <w:jc w:val="center"/>
        <w:rPr>
          <w:rFonts w:eastAsia="楷体_GB2312"/>
          <w:color w:val="000000"/>
          <w:sz w:val="28"/>
        </w:rPr>
      </w:pPr>
      <w:r>
        <w:rPr>
          <w:rFonts w:hint="eastAsia" w:eastAsia="楷体_GB2312"/>
          <w:color w:val="000000"/>
          <w:sz w:val="28"/>
        </w:rPr>
        <w:t>八、信息披露</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（一）产品募集信息披露</w:t>
      </w:r>
    </w:p>
    <w:p>
      <w:pPr>
        <w:snapToGrid w:val="0"/>
        <w:spacing w:line="360" w:lineRule="exact"/>
        <w:ind w:firstLine="420" w:firstLineChars="200"/>
        <w:rPr>
          <w:rFonts w:ascii="楷体_GB2312" w:eastAsia="楷体_GB2312"/>
          <w:color w:val="000000"/>
        </w:rPr>
      </w:pPr>
      <w:r>
        <w:rPr>
          <w:rFonts w:ascii="楷体_GB2312" w:eastAsia="楷体_GB2312"/>
          <w:color w:val="000000"/>
        </w:rPr>
        <w:t>1</w:t>
      </w:r>
      <w:r>
        <w:rPr>
          <w:rFonts w:hint="eastAsia" w:ascii="楷体_GB2312" w:eastAsia="楷体_GB2312"/>
          <w:color w:val="000000"/>
        </w:rPr>
        <w:t>、产品说明书</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color w:val="000000"/>
        </w:rPr>
      </w:pPr>
      <w:r>
        <w:rPr>
          <w:rFonts w:ascii="楷体_GB2312" w:eastAsia="楷体_GB2312"/>
          <w:color w:val="000000"/>
        </w:rPr>
        <w:t>2</w:t>
      </w:r>
      <w:r>
        <w:rPr>
          <w:rFonts w:hint="eastAsia" w:ascii="楷体_GB2312" w:eastAsia="楷体_GB2312"/>
          <w:color w:val="000000"/>
        </w:rPr>
        <w:t>、产品成立报告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产品管理人应当在产品成立后</w:t>
      </w:r>
      <w:r>
        <w:rPr>
          <w:rFonts w:hint="eastAsia" w:ascii="楷体_GB2312" w:eastAsia="楷体_GB2312"/>
          <w:color w:val="000000"/>
          <w:szCs w:val="21"/>
        </w:rPr>
        <w:t>五个工作日在产品管理人官方网站上发布产品成立公告</w:t>
      </w:r>
      <w:r>
        <w:rPr>
          <w:rFonts w:hint="eastAsia" w:ascii="楷体_GB2312" w:eastAsia="楷体_GB2312"/>
          <w:color w:val="000000"/>
        </w:rPr>
        <w:t>。</w:t>
      </w:r>
    </w:p>
    <w:p>
      <w:pPr>
        <w:snapToGrid w:val="0"/>
        <w:spacing w:line="360" w:lineRule="exact"/>
        <w:ind w:firstLine="422" w:firstLineChars="200"/>
        <w:rPr>
          <w:rFonts w:ascii="楷体_GB2312" w:eastAsia="楷体_GB2312"/>
          <w:b/>
          <w:bCs/>
          <w:color w:val="000000"/>
        </w:rPr>
      </w:pPr>
      <w:r>
        <w:rPr>
          <w:rFonts w:hint="eastAsia" w:ascii="楷体_GB2312" w:eastAsia="楷体_GB2312"/>
          <w:b/>
          <w:bCs/>
          <w:color w:val="000000"/>
        </w:rPr>
        <w:t>（二）产品运作信息披露</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产品净值公告</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管理人将在每个申购确认日</w:t>
      </w:r>
      <w:r>
        <w:rPr>
          <w:rFonts w:ascii="楷体_GB2312" w:eastAsia="楷体_GB2312"/>
          <w:color w:val="000000"/>
        </w:rPr>
        <w:t>/</w:t>
      </w:r>
      <w:r>
        <w:rPr>
          <w:rFonts w:hint="eastAsia" w:ascii="楷体_GB2312" w:eastAsia="楷体_GB2312"/>
          <w:color w:val="000000"/>
        </w:rPr>
        <w:t>赎回兑付日后</w:t>
      </w:r>
      <w:r>
        <w:rPr>
          <w:rFonts w:ascii="楷体_GB2312" w:eastAsia="楷体_GB2312"/>
          <w:color w:val="000000"/>
        </w:rPr>
        <w:t>2</w:t>
      </w:r>
      <w:r>
        <w:rPr>
          <w:rFonts w:hint="eastAsia" w:ascii="楷体_GB2312" w:eastAsia="楷体_GB2312"/>
          <w:color w:val="000000"/>
        </w:rPr>
        <w:t>个工作日内通过官方网站披露最新的单位产品净值。</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本产品存续期内，至少每月向投资者提供其所持有的理财产品账单。</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color w:val="000000"/>
        </w:rPr>
      </w:pPr>
      <w:r>
        <w:rPr>
          <w:rFonts w:hint="eastAsia" w:ascii="楷体_GB2312" w:eastAsia="楷体_GB2312"/>
          <w:color w:val="000000"/>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（三）重大事项公告及临时信息披露</w:t>
      </w:r>
    </w:p>
    <w:p>
      <w:pPr>
        <w:snapToGrid w:val="0"/>
        <w:spacing w:line="360" w:lineRule="exact"/>
        <w:ind w:firstLine="422" w:firstLineChars="200"/>
        <w:rPr>
          <w:rFonts w:ascii="楷体_GB2312" w:eastAsia="楷体_GB2312"/>
          <w:color w:val="000000"/>
          <w:szCs w:val="21"/>
        </w:rPr>
      </w:pPr>
      <w:r>
        <w:rPr>
          <w:rFonts w:hint="eastAsia" w:ascii="楷体_GB2312" w:eastAsia="楷体_GB2312"/>
          <w:b/>
          <w:bCs/>
          <w:color w:val="000000"/>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（四）到期公告</w:t>
      </w:r>
    </w:p>
    <w:p>
      <w:pPr>
        <w:snapToGrid w:val="0"/>
        <w:spacing w:line="360" w:lineRule="exact"/>
        <w:ind w:firstLine="420" w:firstLineChars="200"/>
        <w:rPr>
          <w:rFonts w:ascii="楷体_GB2312" w:eastAsia="楷体_GB2312"/>
          <w:color w:val="000000"/>
          <w:szCs w:val="21"/>
        </w:rPr>
      </w:pPr>
      <w:r>
        <w:rPr>
          <w:rFonts w:hint="eastAsia" w:ascii="楷体_GB2312" w:eastAsia="楷体_GB2312"/>
          <w:color w:val="000000"/>
        </w:rPr>
        <w:t>本产品到期后五个工作日内，产品管理人将</w:t>
      </w:r>
      <w:r>
        <w:rPr>
          <w:rFonts w:hint="eastAsia" w:ascii="楷体_GB2312" w:eastAsia="楷体_GB2312"/>
          <w:color w:val="000000"/>
          <w:szCs w:val="21"/>
        </w:rPr>
        <w:t>在产品管理人官方网站上</w:t>
      </w:r>
      <w:r>
        <w:rPr>
          <w:rFonts w:hint="eastAsia" w:ascii="楷体_GB2312" w:eastAsia="楷体_GB2312"/>
          <w:color w:val="000000"/>
        </w:rPr>
        <w:t>披露到期报告。</w:t>
      </w:r>
    </w:p>
    <w:p>
      <w:pPr>
        <w:snapToGrid w:val="0"/>
        <w:spacing w:line="360" w:lineRule="exact"/>
        <w:ind w:firstLine="422" w:firstLineChars="200"/>
        <w:rPr>
          <w:rFonts w:ascii="楷体_GB2312" w:eastAsia="楷体_GB2312"/>
          <w:b/>
          <w:bCs/>
          <w:color w:val="000000"/>
          <w:szCs w:val="21"/>
        </w:rPr>
      </w:pPr>
      <w:r>
        <w:rPr>
          <w:rFonts w:hint="eastAsia" w:ascii="楷体_GB2312" w:eastAsia="楷体_GB2312"/>
          <w:b/>
          <w:bCs/>
          <w:color w:val="000000"/>
          <w:szCs w:val="21"/>
        </w:rPr>
        <w:t>（五）信息披露文件查询途径</w:t>
      </w:r>
    </w:p>
    <w:p>
      <w:pPr>
        <w:snapToGrid w:val="0"/>
        <w:spacing w:line="360" w:lineRule="exact"/>
        <w:ind w:firstLine="422" w:firstLineChars="200"/>
        <w:rPr>
          <w:rFonts w:ascii="楷体_GB2312" w:eastAsia="楷体_GB2312"/>
          <w:b/>
          <w:bCs/>
          <w:color w:val="000000"/>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color w:val="000000"/>
          <w:szCs w:val="21"/>
        </w:rPr>
        <w:t>除本产品说明书中另有约定之外，投资者可按照《投资者权益须知》约定途径查阅相关的信息披露文件。</w:t>
      </w:r>
    </w:p>
    <w:p>
      <w:pPr>
        <w:tabs>
          <w:tab w:val="left" w:pos="4536"/>
        </w:tabs>
        <w:jc w:val="left"/>
        <w:rPr>
          <w:rFonts w:ascii="宋体" w:hAnsi="宋体"/>
          <w:b/>
          <w:color w:val="000000"/>
          <w:sz w:val="18"/>
          <w:szCs w:val="18"/>
        </w:rPr>
      </w:pPr>
      <w:r>
        <w:rPr>
          <w:rFonts w:hint="eastAsia" w:ascii="宋体" w:hAnsi="宋体"/>
          <w:b/>
          <w:color w:val="000000"/>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color w:val="000000"/>
          <w:spacing w:val="40"/>
          <w:sz w:val="28"/>
          <w:szCs w:val="28"/>
        </w:rPr>
      </w:pPr>
      <w:r>
        <w:rPr>
          <w:rFonts w:hint="eastAsia" w:ascii="宋体" w:hAnsi="宋体"/>
          <w:b/>
          <w:bCs/>
          <w:color w:val="000000"/>
          <w:spacing w:val="40"/>
          <w:sz w:val="28"/>
          <w:szCs w:val="28"/>
        </w:rPr>
        <w:t>风险揭示书</w:t>
      </w:r>
    </w:p>
    <w:p>
      <w:pPr>
        <w:jc w:val="center"/>
        <w:rPr>
          <w:color w:val="000000"/>
        </w:rPr>
      </w:pPr>
    </w:p>
    <w:p>
      <w:pPr>
        <w:pStyle w:val="7"/>
        <w:ind w:left="0" w:leftChars="0"/>
        <w:rPr>
          <w:rFonts w:ascii="宋体" w:hAnsi="宋体"/>
          <w:color w:val="000000"/>
          <w:sz w:val="18"/>
          <w:szCs w:val="18"/>
        </w:rPr>
      </w:pPr>
      <w:r>
        <w:rPr>
          <w:rFonts w:hint="eastAsia" w:ascii="宋体" w:hAnsi="宋体"/>
          <w:b/>
          <w:bCs/>
          <w:color w:val="000000"/>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color w:val="000000"/>
          <w:sz w:val="18"/>
          <w:szCs w:val="18"/>
        </w:rPr>
      </w:pPr>
      <w:r>
        <w:rPr>
          <w:rFonts w:hint="eastAsia" w:ascii="宋体" w:hAnsi="宋体"/>
          <w:color w:val="000000"/>
          <w:sz w:val="18"/>
          <w:szCs w:val="18"/>
        </w:rPr>
        <w:t xml:space="preserve">  投资者投资本理财产品可能存在但不限于以下风险：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color w:val="000000"/>
          <w:sz w:val="18"/>
          <w:szCs w:val="18"/>
        </w:rPr>
      </w:pPr>
      <w:r>
        <w:rPr>
          <w:rFonts w:hint="eastAsia" w:ascii="宋体" w:hAnsi="宋体"/>
          <w:b/>
          <w:bCs/>
          <w:color w:val="000000"/>
          <w:sz w:val="18"/>
          <w:szCs w:val="18"/>
        </w:rPr>
        <w:t>流动性风险</w:t>
      </w:r>
      <w:r>
        <w:rPr>
          <w:rFonts w:hint="eastAsia" w:ascii="宋体" w:hAnsi="宋体"/>
          <w:color w:val="000000"/>
          <w:sz w:val="18"/>
          <w:szCs w:val="18"/>
        </w:rPr>
        <w:t>：</w:t>
      </w:r>
      <w:r>
        <w:rPr>
          <w:rFonts w:hint="eastAsia" w:ascii="宋体" w:hAnsi="宋体"/>
          <w:b/>
          <w:bCs/>
          <w:color w:val="000000"/>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color w:val="000000"/>
          <w:sz w:val="18"/>
          <w:szCs w:val="18"/>
        </w:rPr>
      </w:pPr>
      <w:r>
        <w:rPr>
          <w:rFonts w:hint="eastAsia" w:ascii="宋体" w:hAnsi="宋体"/>
          <w:color w:val="000000"/>
          <w:sz w:val="18"/>
          <w:szCs w:val="18"/>
        </w:rPr>
        <w:t>政策风险：本理财产品存续期内可能会遇到国家金融政策重大调整，影响产品本金及收益水平。</w:t>
      </w:r>
    </w:p>
    <w:p>
      <w:pPr>
        <w:numPr>
          <w:ilvl w:val="0"/>
          <w:numId w:val="2"/>
        </w:numPr>
        <w:rPr>
          <w:rFonts w:ascii="宋体" w:hAnsi="宋体"/>
          <w:b/>
          <w:bCs/>
          <w:color w:val="000000"/>
          <w:sz w:val="18"/>
          <w:szCs w:val="18"/>
        </w:rPr>
      </w:pPr>
      <w:r>
        <w:rPr>
          <w:rFonts w:hint="eastAsia" w:ascii="宋体" w:hAnsi="宋体"/>
          <w:b/>
          <w:bCs/>
          <w:color w:val="000000"/>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color w:val="000000"/>
          <w:sz w:val="18"/>
          <w:szCs w:val="18"/>
        </w:rPr>
      </w:pPr>
      <w:r>
        <w:rPr>
          <w:rFonts w:hint="eastAsia" w:ascii="宋体" w:hAnsi="宋体"/>
          <w:color w:val="000000"/>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color w:val="000000"/>
          <w:sz w:val="18"/>
          <w:szCs w:val="18"/>
        </w:rPr>
      </w:pPr>
      <w:r>
        <w:rPr>
          <w:rFonts w:hint="eastAsia" w:ascii="宋体" w:hAnsi="宋体"/>
          <w:color w:val="000000"/>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color w:val="000000"/>
          <w:sz w:val="18"/>
          <w:szCs w:val="18"/>
        </w:rPr>
      </w:pPr>
      <w:r>
        <w:rPr>
          <w:rFonts w:hint="eastAsia" w:ascii="宋体" w:hAnsi="宋体"/>
          <w:color w:val="000000"/>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color w:val="000000"/>
          <w:sz w:val="18"/>
          <w:szCs w:val="18"/>
        </w:rPr>
      </w:pPr>
      <w:r>
        <w:rPr>
          <w:rFonts w:hint="eastAsia" w:ascii="宋体" w:hAnsi="宋体"/>
          <w:color w:val="000000"/>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color w:val="000000"/>
          <w:sz w:val="18"/>
          <w:szCs w:val="18"/>
        </w:rPr>
      </w:pPr>
      <w:r>
        <w:rPr>
          <w:rFonts w:hint="eastAsia" w:ascii="宋体" w:hAnsi="宋体"/>
          <w:b/>
          <w:bCs/>
          <w:color w:val="000000"/>
          <w:sz w:val="18"/>
          <w:szCs w:val="18"/>
        </w:rPr>
        <w:t>特定投资标的风险：</w:t>
      </w:r>
    </w:p>
    <w:p>
      <w:pPr>
        <w:ind w:firstLine="361" w:firstLineChars="200"/>
        <w:rPr>
          <w:rFonts w:ascii="宋体" w:hAnsi="宋体"/>
          <w:b/>
          <w:bCs/>
          <w:color w:val="000000"/>
          <w:sz w:val="18"/>
          <w:szCs w:val="18"/>
        </w:rPr>
      </w:pPr>
      <w:r>
        <w:rPr>
          <w:rFonts w:hint="eastAsia" w:ascii="宋体" w:hAnsi="宋体"/>
          <w:b/>
          <w:bCs/>
          <w:color w:val="000000"/>
          <w:sz w:val="18"/>
          <w:szCs w:val="18"/>
        </w:rPr>
        <w:t>（1）投资于债券的特殊风险</w:t>
      </w:r>
    </w:p>
    <w:p>
      <w:pPr>
        <w:ind w:firstLine="360" w:firstLineChars="200"/>
        <w:rPr>
          <w:rFonts w:ascii="宋体" w:hAnsi="宋体"/>
          <w:color w:val="000000"/>
          <w:sz w:val="18"/>
          <w:szCs w:val="18"/>
        </w:rPr>
      </w:pPr>
      <w:r>
        <w:rPr>
          <w:rFonts w:hint="eastAsia" w:ascii="宋体" w:hAnsi="宋体"/>
          <w:color w:val="000000"/>
          <w:sz w:val="18"/>
          <w:szCs w:val="18"/>
        </w:rPr>
        <w:t>A、市场平均利率水平变化导致债券价格变化的风险；</w:t>
      </w:r>
    </w:p>
    <w:p>
      <w:pPr>
        <w:ind w:firstLine="360" w:firstLineChars="200"/>
        <w:rPr>
          <w:rFonts w:ascii="宋体" w:hAnsi="宋体"/>
          <w:color w:val="000000"/>
          <w:sz w:val="18"/>
          <w:szCs w:val="18"/>
        </w:rPr>
      </w:pPr>
      <w:r>
        <w:rPr>
          <w:rFonts w:hint="eastAsia" w:ascii="宋体" w:hAnsi="宋体"/>
          <w:color w:val="000000"/>
          <w:sz w:val="18"/>
          <w:szCs w:val="18"/>
        </w:rPr>
        <w:t>B、债券市场不同期限、不同类属债券之间的利差变动导致相应期限和类属债券价格变化的风险；</w:t>
      </w:r>
    </w:p>
    <w:p>
      <w:pPr>
        <w:ind w:firstLine="360" w:firstLineChars="200"/>
        <w:rPr>
          <w:rFonts w:ascii="宋体" w:hAnsi="宋体"/>
          <w:color w:val="000000"/>
          <w:sz w:val="18"/>
          <w:szCs w:val="18"/>
        </w:rPr>
      </w:pPr>
      <w:r>
        <w:rPr>
          <w:rFonts w:hint="eastAsia" w:ascii="宋体" w:hAnsi="宋体"/>
          <w:color w:val="000000"/>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color w:val="000000"/>
          <w:sz w:val="18"/>
          <w:szCs w:val="18"/>
        </w:rPr>
      </w:pPr>
      <w:r>
        <w:rPr>
          <w:rFonts w:hint="eastAsia" w:ascii="宋体" w:hAnsi="宋体"/>
          <w:color w:val="000000"/>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color w:val="000000"/>
          <w:sz w:val="18"/>
          <w:szCs w:val="18"/>
        </w:rPr>
      </w:pPr>
      <w:r>
        <w:rPr>
          <w:rFonts w:hint="eastAsia" w:ascii="宋体" w:hAnsi="宋体"/>
          <w:color w:val="000000"/>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color w:val="000000"/>
          <w:sz w:val="18"/>
          <w:szCs w:val="18"/>
        </w:rPr>
      </w:pPr>
      <w:r>
        <w:rPr>
          <w:rFonts w:hint="eastAsia" w:ascii="宋体" w:hAnsi="宋体"/>
          <w:color w:val="000000"/>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color w:val="000000"/>
          <w:sz w:val="18"/>
          <w:szCs w:val="18"/>
        </w:rPr>
      </w:pPr>
      <w:r>
        <w:rPr>
          <w:rFonts w:hint="eastAsia" w:ascii="宋体" w:hAnsi="宋体"/>
          <w:color w:val="000000"/>
          <w:sz w:val="18"/>
          <w:szCs w:val="18"/>
        </w:rPr>
        <w:t>H、债券回购风险：债券投资可能会运用正回购来增加组合杠杆，较高的债券正回购比例可能增加组合的利率风险。</w:t>
      </w:r>
    </w:p>
    <w:p>
      <w:pPr>
        <w:ind w:firstLine="361" w:firstLineChars="200"/>
        <w:rPr>
          <w:rFonts w:ascii="宋体" w:hAnsi="宋体"/>
          <w:b/>
          <w:bCs/>
          <w:color w:val="000000"/>
          <w:sz w:val="18"/>
          <w:szCs w:val="18"/>
        </w:rPr>
      </w:pPr>
      <w:r>
        <w:rPr>
          <w:rFonts w:hint="eastAsia" w:ascii="宋体" w:hAnsi="宋体"/>
          <w:b/>
          <w:bCs/>
          <w:color w:val="000000"/>
          <w:sz w:val="18"/>
          <w:szCs w:val="18"/>
        </w:rPr>
        <w:t>（2）投资于资产支持证券的特殊风险</w:t>
      </w:r>
    </w:p>
    <w:p>
      <w:pPr>
        <w:ind w:firstLine="360" w:firstLineChars="200"/>
        <w:rPr>
          <w:rFonts w:ascii="宋体" w:hAnsi="宋体"/>
          <w:b/>
          <w:bCs/>
          <w:color w:val="000000"/>
          <w:sz w:val="18"/>
          <w:szCs w:val="18"/>
        </w:rPr>
      </w:pPr>
      <w:r>
        <w:rPr>
          <w:rFonts w:hint="eastAsia" w:ascii="宋体" w:hAnsi="宋体"/>
          <w:color w:val="000000"/>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（3）投资于衍生金融工具的特殊风险</w:t>
      </w:r>
    </w:p>
    <w:p>
      <w:pPr>
        <w:ind w:firstLine="360" w:firstLineChars="200"/>
        <w:rPr>
          <w:rFonts w:ascii="宋体" w:hAnsi="宋体"/>
          <w:color w:val="000000"/>
          <w:sz w:val="18"/>
          <w:szCs w:val="18"/>
        </w:rPr>
      </w:pPr>
      <w:r>
        <w:rPr>
          <w:rFonts w:hint="eastAsia" w:ascii="宋体" w:hAnsi="宋体"/>
          <w:color w:val="000000"/>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color w:val="000000"/>
          <w:sz w:val="18"/>
          <w:szCs w:val="18"/>
        </w:rPr>
      </w:pPr>
      <w:r>
        <w:rPr>
          <w:rFonts w:hint="eastAsia" w:ascii="宋体" w:hAnsi="宋体"/>
          <w:b/>
          <w:bCs/>
          <w:color w:val="000000"/>
          <w:sz w:val="18"/>
          <w:szCs w:val="18"/>
        </w:rPr>
        <w:t>（4）如本产品进行债权投资的，则本产品可能面临如下风险：</w:t>
      </w:r>
    </w:p>
    <w:p>
      <w:pPr>
        <w:ind w:firstLine="360" w:firstLineChars="200"/>
        <w:rPr>
          <w:rFonts w:ascii="宋体" w:hAnsi="宋体"/>
          <w:color w:val="000000"/>
          <w:sz w:val="18"/>
          <w:szCs w:val="18"/>
        </w:rPr>
      </w:pPr>
      <w:r>
        <w:rPr>
          <w:rFonts w:hint="eastAsia" w:ascii="宋体" w:hAnsi="宋体"/>
          <w:color w:val="000000"/>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color w:val="000000"/>
          <w:sz w:val="18"/>
          <w:szCs w:val="18"/>
        </w:rPr>
      </w:pPr>
      <w:r>
        <w:rPr>
          <w:rFonts w:hint="eastAsia" w:ascii="宋体" w:hAnsi="宋体"/>
          <w:color w:val="000000"/>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color w:val="000000"/>
          <w:sz w:val="18"/>
          <w:szCs w:val="18"/>
        </w:rPr>
      </w:pPr>
      <w:r>
        <w:rPr>
          <w:rFonts w:hint="eastAsia" w:ascii="宋体" w:hAnsi="宋体"/>
          <w:color w:val="000000"/>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color w:val="000000"/>
          <w:sz w:val="18"/>
          <w:szCs w:val="18"/>
        </w:rPr>
      </w:pPr>
      <w:r>
        <w:rPr>
          <w:rFonts w:hint="eastAsia" w:ascii="宋体" w:hAnsi="宋体"/>
          <w:color w:val="000000"/>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color w:val="000000"/>
          <w:sz w:val="18"/>
          <w:szCs w:val="18"/>
        </w:rPr>
      </w:pPr>
      <w:r>
        <w:rPr>
          <w:rFonts w:hint="eastAsia" w:ascii="宋体" w:hAnsi="宋体"/>
          <w:b/>
          <w:bCs/>
          <w:color w:val="000000"/>
          <w:sz w:val="18"/>
          <w:szCs w:val="18"/>
        </w:rPr>
        <w:t>（5）投资于相关信托受益权、资产管理计划的计划份额时，可能面临的受托人/资产管理人风险</w:t>
      </w:r>
    </w:p>
    <w:p>
      <w:pPr>
        <w:ind w:firstLine="360" w:firstLineChars="200"/>
        <w:rPr>
          <w:rFonts w:ascii="宋体" w:hAnsi="宋体"/>
          <w:color w:val="000000"/>
          <w:sz w:val="18"/>
          <w:szCs w:val="18"/>
        </w:rPr>
      </w:pPr>
      <w:r>
        <w:rPr>
          <w:rFonts w:hint="eastAsia" w:ascii="宋体" w:hAnsi="宋体"/>
          <w:color w:val="000000"/>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color w:val="000000"/>
          <w:sz w:val="18"/>
          <w:szCs w:val="18"/>
        </w:rPr>
      </w:pPr>
      <w:r>
        <w:rPr>
          <w:rFonts w:hint="eastAsia" w:ascii="宋体" w:hAnsi="宋体"/>
          <w:color w:val="000000"/>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color w:val="000000"/>
          <w:sz w:val="18"/>
          <w:szCs w:val="18"/>
        </w:rPr>
      </w:pPr>
      <w:r>
        <w:rPr>
          <w:rFonts w:hint="eastAsia" w:ascii="宋体" w:hAnsi="宋体"/>
          <w:b/>
          <w:bCs/>
          <w:color w:val="000000"/>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color w:val="000000"/>
          <w:sz w:val="18"/>
          <w:szCs w:val="18"/>
        </w:rPr>
      </w:pPr>
    </w:p>
    <w:p>
      <w:pPr>
        <w:numPr>
          <w:ilvl w:val="0"/>
          <w:numId w:val="2"/>
        </w:numPr>
        <w:ind w:left="0" w:firstLine="0"/>
        <w:rPr>
          <w:rFonts w:ascii="宋体" w:hAnsi="宋体"/>
          <w:color w:val="000000"/>
          <w:sz w:val="18"/>
          <w:szCs w:val="18"/>
        </w:rPr>
      </w:pPr>
      <w:r>
        <w:rPr>
          <w:rFonts w:hint="eastAsia" w:ascii="宋体" w:hAnsi="宋体"/>
          <w:b/>
          <w:bCs/>
          <w:color w:val="000000"/>
          <w:sz w:val="18"/>
          <w:szCs w:val="18"/>
        </w:rPr>
        <w:t>本理财产品为</w:t>
      </w:r>
      <w:r>
        <w:rPr>
          <w:rFonts w:hint="eastAsia" w:ascii="宋体" w:hAnsi="宋体"/>
          <w:b/>
          <w:bCs/>
          <w:color w:val="000000"/>
          <w:sz w:val="18"/>
          <w:szCs w:val="18"/>
          <w:u w:val="single"/>
        </w:rPr>
        <w:t>非保本固定收益类净值型</w:t>
      </w:r>
      <w:r>
        <w:rPr>
          <w:rFonts w:hint="eastAsia" w:ascii="宋体" w:hAnsi="宋体"/>
          <w:b/>
          <w:bCs/>
          <w:color w:val="000000"/>
          <w:sz w:val="18"/>
          <w:szCs w:val="18"/>
        </w:rPr>
        <w:t>产品，期限</w:t>
      </w:r>
      <w:r>
        <w:rPr>
          <w:rFonts w:hint="eastAsia" w:ascii="宋体" w:hAnsi="宋体"/>
          <w:b/>
          <w:bCs/>
          <w:color w:val="000000"/>
          <w:sz w:val="18"/>
          <w:szCs w:val="18"/>
          <w:u w:val="single"/>
        </w:rPr>
        <w:t>7305天</w:t>
      </w:r>
      <w:r>
        <w:rPr>
          <w:rFonts w:hint="eastAsia" w:ascii="宋体" w:hAnsi="宋体"/>
          <w:b/>
          <w:bCs/>
          <w:color w:val="000000"/>
          <w:sz w:val="18"/>
          <w:szCs w:val="18"/>
        </w:rPr>
        <w:t>，根据常熟农商银行内部风险评级标准，本产品风险评级为</w:t>
      </w:r>
      <w:r>
        <w:rPr>
          <w:rFonts w:hint="eastAsia" w:ascii="宋体" w:hAnsi="宋体"/>
          <w:b/>
          <w:bCs/>
          <w:color w:val="000000"/>
          <w:sz w:val="18"/>
          <w:szCs w:val="18"/>
          <w:u w:val="single"/>
        </w:rPr>
        <w:t>二级</w:t>
      </w:r>
      <w:r>
        <w:rPr>
          <w:rFonts w:hint="eastAsia" w:ascii="宋体" w:hAnsi="宋体"/>
          <w:b/>
          <w:bCs/>
          <w:color w:val="000000"/>
          <w:sz w:val="18"/>
          <w:szCs w:val="18"/>
        </w:rPr>
        <w:t>，适合购买的投资者为</w:t>
      </w:r>
      <w:r>
        <w:rPr>
          <w:rFonts w:hint="eastAsia" w:ascii="宋体" w:hAnsi="宋体"/>
          <w:b/>
          <w:bCs/>
          <w:color w:val="000000"/>
          <w:sz w:val="18"/>
          <w:szCs w:val="18"/>
          <w:u w:val="single"/>
        </w:rPr>
        <w:t>谨慎型、稳健型、进取型、积极进取型</w:t>
      </w:r>
      <w:r>
        <w:rPr>
          <w:rFonts w:hint="eastAsia" w:ascii="宋体" w:hAnsi="宋体"/>
          <w:b/>
          <w:bCs/>
          <w:color w:val="000000"/>
          <w:sz w:val="18"/>
          <w:szCs w:val="18"/>
        </w:rPr>
        <w:t>。最不利情形下投资结果示例：</w:t>
      </w:r>
    </w:p>
    <w:p>
      <w:pPr>
        <w:rPr>
          <w:rFonts w:ascii="宋体" w:hAnsi="宋体"/>
          <w:color w:val="000000"/>
          <w:sz w:val="18"/>
          <w:szCs w:val="18"/>
        </w:rPr>
      </w:pPr>
      <w:r>
        <w:rPr>
          <w:rFonts w:hint="eastAsia" w:ascii="宋体" w:hAnsi="宋体"/>
          <w:b/>
          <w:bCs/>
          <w:color w:val="000000"/>
          <w:sz w:val="18"/>
          <w:szCs w:val="18"/>
          <w:u w:val="single"/>
        </w:rPr>
        <w:t>假如投资者以10万元本金认购本产品，最不利情形下，投资者可获得的本理财产品的本金及收益为0，即10万元本金及收益全部损失。</w:t>
      </w:r>
    </w:p>
    <w:p>
      <w:pPr>
        <w:rPr>
          <w:rFonts w:ascii="宋体" w:hAnsi="宋体"/>
          <w:b/>
          <w:color w:val="000000"/>
          <w:sz w:val="18"/>
          <w:szCs w:val="18"/>
        </w:rPr>
      </w:pPr>
      <w:r>
        <w:rPr>
          <w:rFonts w:hint="eastAsia" w:ascii="宋体" w:hAnsi="宋体"/>
          <w:color w:val="000000"/>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color w:val="000000"/>
          <w:sz w:val="18"/>
          <w:szCs w:val="18"/>
        </w:rPr>
        <w:t>认真阅读理财产品协议、对应的产品说明书、风险揭示专页、投资者权益须知专页中全部条款与内容</w:t>
      </w:r>
      <w:r>
        <w:rPr>
          <w:rFonts w:hint="eastAsia" w:ascii="宋体" w:hAnsi="宋体"/>
          <w:color w:val="000000"/>
          <w:sz w:val="18"/>
          <w:szCs w:val="18"/>
        </w:rPr>
        <w:t>，并</w:t>
      </w:r>
      <w:r>
        <w:rPr>
          <w:rFonts w:hint="eastAsia" w:ascii="宋体" w:hAnsi="宋体"/>
          <w:b/>
          <w:color w:val="000000"/>
          <w:sz w:val="18"/>
          <w:szCs w:val="18"/>
        </w:rPr>
        <w:t>了解相关本产品的基本情况和投资风险与收益状况</w:t>
      </w:r>
      <w:r>
        <w:rPr>
          <w:rFonts w:hint="eastAsia" w:ascii="宋体" w:hAnsi="宋体"/>
          <w:color w:val="000000"/>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color w:val="000000"/>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u w:val="single"/>
        </w:rPr>
      </w:pPr>
      <w:r>
        <w:rPr>
          <w:rFonts w:hint="eastAsia" w:ascii="宋体" w:hAnsi="宋体"/>
          <w:b/>
          <w:i/>
          <w:color w:val="000000"/>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color w:val="000000"/>
          <w:sz w:val="24"/>
          <w:szCs w:val="24"/>
        </w:rPr>
      </w:pPr>
      <w:r>
        <w:rPr>
          <w:rFonts w:hint="eastAsia" w:ascii="宋体" w:hAnsi="宋体"/>
          <w:b/>
          <w:i/>
          <w:color w:val="000000"/>
          <w:sz w:val="24"/>
          <w:szCs w:val="24"/>
        </w:rPr>
        <w:t>理财产品过往业绩不代表其未来表现，不等于理财产品实际收益，投资须谨慎。</w:t>
      </w:r>
    </w:p>
    <w:p>
      <w:pPr>
        <w:ind w:firstLine="360" w:firstLineChars="200"/>
        <w:rPr>
          <w:rFonts w:ascii="宋体" w:hAnsi="宋体"/>
          <w:color w:val="000000"/>
          <w:sz w:val="18"/>
          <w:szCs w:val="18"/>
          <w:u w:val="single"/>
        </w:rPr>
      </w:pPr>
      <w:r>
        <w:rPr>
          <w:rFonts w:ascii="宋体" w:hAnsi="宋体"/>
          <w:color w:val="000000"/>
          <w:sz w:val="18"/>
          <w:szCs w:val="18"/>
          <w:u w:val="single"/>
        </w:rPr>
        <w:t xml:space="preserve">    </w:t>
      </w:r>
      <w:r>
        <w:rPr>
          <w:rFonts w:hint="eastAsia" w:ascii="宋体" w:hAnsi="宋体"/>
          <w:color w:val="000000"/>
          <w:sz w:val="18"/>
          <w:szCs w:val="18"/>
          <w:u w:val="single"/>
        </w:rPr>
        <w:t xml:space="preserve">                                                                                    </w:t>
      </w:r>
    </w:p>
    <w:p>
      <w:pPr>
        <w:jc w:val="center"/>
        <w:rPr>
          <w:rFonts w:ascii="宋体" w:hAnsi="宋体"/>
          <w:b/>
          <w:color w:val="000000"/>
          <w:sz w:val="18"/>
          <w:szCs w:val="18"/>
        </w:rPr>
      </w:pPr>
      <w:r>
        <w:rPr>
          <w:rFonts w:hint="eastAsia" w:ascii="宋体" w:hAnsi="宋体"/>
          <w:b/>
          <w:color w:val="000000"/>
          <w:sz w:val="18"/>
          <w:szCs w:val="18"/>
        </w:rPr>
        <w:t>投资者确认栏</w:t>
      </w:r>
    </w:p>
    <w:p>
      <w:pPr>
        <w:adjustRightInd w:val="0"/>
        <w:ind w:firstLine="270" w:firstLineChars="150"/>
        <w:rPr>
          <w:rFonts w:ascii="宋体" w:hAnsi="宋体" w:cs="宋体"/>
          <w:color w:val="000000"/>
          <w:kern w:val="0"/>
          <w:sz w:val="18"/>
          <w:szCs w:val="18"/>
        </w:rPr>
      </w:pPr>
      <w:r>
        <w:rPr>
          <w:rFonts w:hint="eastAsia" w:ascii="宋体" w:hAnsi="宋体" w:cs="宋体"/>
          <w:color w:val="000000"/>
          <w:kern w:val="0"/>
          <w:sz w:val="18"/>
          <w:szCs w:val="18"/>
        </w:rPr>
        <w:t xml:space="preserve">本人确认如下： </w:t>
      </w:r>
    </w:p>
    <w:p>
      <w:pPr>
        <w:adjustRightInd w:val="0"/>
        <w:ind w:firstLine="360" w:firstLineChars="200"/>
        <w:rPr>
          <w:rFonts w:ascii="宋体" w:hAnsi="宋体"/>
          <w:color w:val="000000"/>
          <w:sz w:val="18"/>
          <w:szCs w:val="18"/>
        </w:rPr>
      </w:pPr>
      <w:r>
        <w:rPr>
          <w:rFonts w:hint="eastAsia" w:ascii="宋体" w:hAnsi="宋体"/>
          <w:color w:val="000000"/>
          <w:sz w:val="18"/>
          <w:szCs w:val="18"/>
        </w:rPr>
        <w:t>本人的风险承受能力评级为：</w:t>
      </w:r>
    </w:p>
    <w:p>
      <w:pPr>
        <w:adjustRightInd w:val="0"/>
        <w:ind w:firstLine="360" w:firstLineChars="200"/>
        <w:rPr>
          <w:rFonts w:ascii="宋体" w:hAnsi="宋体"/>
          <w:color w:val="000000"/>
          <w:sz w:val="18"/>
          <w:szCs w:val="18"/>
        </w:rPr>
      </w:pPr>
      <w:r>
        <w:rPr>
          <w:rFonts w:hint="eastAsia" w:ascii="宋体" w:hAnsi="宋体"/>
          <w:color w:val="000000"/>
          <w:sz w:val="18"/>
          <w:szCs w:val="18"/>
        </w:rPr>
        <w:t>□保守型（一级）    □谨慎型（二级）   □稳健型（三级）   □进取型（四级）   □积极进取型（五级）。</w:t>
      </w:r>
    </w:p>
    <w:p>
      <w:pPr>
        <w:ind w:firstLine="361" w:firstLineChars="200"/>
        <w:rPr>
          <w:rFonts w:ascii="宋体" w:hAnsi="宋体"/>
          <w:color w:val="000000"/>
          <w:sz w:val="18"/>
          <w:szCs w:val="18"/>
        </w:rPr>
      </w:pPr>
      <w:r>
        <w:rPr>
          <w:rFonts w:hint="eastAsia" w:ascii="宋体" w:hAnsi="宋体"/>
          <w:b/>
          <w:bCs/>
          <w:color w:val="000000"/>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color w:val="000000"/>
          <w:sz w:val="18"/>
          <w:szCs w:val="18"/>
        </w:rPr>
      </w:pPr>
      <w:r>
        <w:rPr>
          <w:rFonts w:hint="eastAsia" w:ascii="宋体" w:hAnsi="宋体"/>
          <w:color w:val="000000"/>
          <w:sz w:val="18"/>
          <w:szCs w:val="18"/>
        </w:rPr>
        <w:t>抄录：</w:t>
      </w:r>
      <w:r>
        <w:rPr>
          <w:rFonts w:hint="eastAsia" w:ascii="宋体" w:hAnsi="宋体"/>
          <w:b/>
          <w:bCs/>
          <w:color w:val="000000"/>
          <w:sz w:val="18"/>
          <w:szCs w:val="18"/>
        </w:rPr>
        <w:t>本人已阅读风险揭示，愿意承担投资风险。（电子渠道以点击确认为准，柜面渠道以手写抄录签名为准）</w:t>
      </w:r>
    </w:p>
    <w:p>
      <w:pPr>
        <w:ind w:firstLine="360" w:firstLineChars="200"/>
        <w:rPr>
          <w:rFonts w:ascii="宋体" w:hAnsi="宋体"/>
          <w:color w:val="000000"/>
          <w:sz w:val="18"/>
          <w:szCs w:val="18"/>
          <w:u w:val="single"/>
        </w:rPr>
      </w:pP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p>
    <w:p>
      <w:pPr>
        <w:ind w:firstLine="360" w:firstLineChars="200"/>
        <w:rPr>
          <w:rFonts w:ascii="宋体" w:hAnsi="宋体"/>
          <w:color w:val="000000"/>
          <w:sz w:val="18"/>
          <w:szCs w:val="18"/>
        </w:rPr>
      </w:pPr>
      <w:r>
        <w:rPr>
          <w:rFonts w:hint="eastAsia" w:ascii="宋体" w:hAnsi="宋体"/>
          <w:color w:val="000000"/>
          <w:sz w:val="18"/>
          <w:szCs w:val="18"/>
        </w:rPr>
        <w:t>个人投资者（</w:t>
      </w:r>
      <w:r>
        <w:rPr>
          <w:rFonts w:hint="eastAsia" w:ascii="宋体" w:hAnsi="宋体"/>
          <w:color w:val="000000"/>
          <w:sz w:val="18"/>
          <w:szCs w:val="18"/>
          <w:lang w:eastAsia="zh-CN"/>
        </w:rPr>
        <w:t>签名或按指印</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rPr>
        <w:t xml:space="preserve">     机构投资者（</w:t>
      </w:r>
      <w:r>
        <w:rPr>
          <w:rFonts w:hint="eastAsia" w:ascii="宋体" w:hAnsi="宋体"/>
          <w:color w:val="000000"/>
          <w:sz w:val="18"/>
          <w:szCs w:val="18"/>
          <w:lang w:eastAsia="zh-CN"/>
        </w:rPr>
        <w:t>预留印鉴</w:t>
      </w:r>
      <w:r>
        <w:rPr>
          <w:rFonts w:hint="eastAsia" w:ascii="宋体" w:hAnsi="宋体"/>
          <w:color w:val="000000"/>
          <w:sz w:val="18"/>
          <w:szCs w:val="18"/>
        </w:rPr>
        <w:t>）：</w:t>
      </w:r>
      <w:r>
        <w:rPr>
          <w:rFonts w:hint="eastAsia" w:ascii="宋体" w:hAnsi="宋体"/>
          <w:color w:val="000000"/>
          <w:sz w:val="18"/>
          <w:szCs w:val="18"/>
          <w:u w:val="single"/>
        </w:rPr>
        <w:t xml:space="preserve">         </w:t>
      </w:r>
      <w:r>
        <w:rPr>
          <w:rFonts w:hint="eastAsia" w:ascii="宋体" w:hAnsi="宋体"/>
          <w:color w:val="000000"/>
          <w:sz w:val="18"/>
          <w:szCs w:val="18"/>
          <w:u w:val="single"/>
          <w:lang w:val="en-US" w:eastAsia="zh-CN"/>
        </w:rPr>
        <w:t xml:space="preserve">  </w:t>
      </w:r>
      <w:r>
        <w:rPr>
          <w:rFonts w:hint="eastAsia" w:ascii="宋体" w:hAnsi="宋体"/>
          <w:color w:val="000000"/>
          <w:sz w:val="18"/>
          <w:szCs w:val="18"/>
          <w:u w:val="single"/>
        </w:rPr>
        <w:t xml:space="preserve">          </w:t>
      </w:r>
      <w:r>
        <w:rPr>
          <w:rFonts w:hint="eastAsia" w:ascii="宋体" w:hAnsi="宋体"/>
          <w:color w:val="000000"/>
          <w:sz w:val="18"/>
          <w:szCs w:val="18"/>
        </w:rPr>
        <w:t xml:space="preserve">   </w:t>
      </w:r>
      <w:r>
        <w:rPr>
          <w:rFonts w:ascii="宋体" w:hAnsi="宋体"/>
          <w:color w:val="000000"/>
          <w:sz w:val="18"/>
          <w:szCs w:val="18"/>
          <w:u w:val="single"/>
        </w:rPr>
        <w:t xml:space="preserve">  </w:t>
      </w:r>
    </w:p>
    <w:p>
      <w:pPr>
        <w:ind w:firstLine="0" w:firstLineChars="0"/>
        <w:jc w:val="right"/>
        <w:rPr>
          <w:rFonts w:ascii="宋体" w:hAnsi="宋体"/>
          <w:color w:val="000000"/>
          <w:sz w:val="18"/>
          <w:szCs w:val="18"/>
        </w:rPr>
      </w:pPr>
      <w:r>
        <w:rPr>
          <w:rFonts w:hint="eastAsia" w:ascii="宋体" w:hAnsi="宋体"/>
          <w:color w:val="000000"/>
          <w:sz w:val="18"/>
          <w:szCs w:val="18"/>
        </w:rPr>
        <w:t>年    月    日</w:t>
      </w:r>
    </w:p>
    <w:p>
      <w:pPr>
        <w:jc w:val="center"/>
        <w:rPr>
          <w:rFonts w:ascii="宋体" w:hAnsi="宋体"/>
          <w:b/>
          <w:color w:val="000000"/>
          <w:sz w:val="28"/>
          <w:szCs w:val="28"/>
        </w:rPr>
      </w:pPr>
      <w:r>
        <w:rPr>
          <w:rFonts w:hint="eastAsia" w:ascii="宋体" w:hAnsi="宋体"/>
          <w:b/>
          <w:color w:val="000000"/>
          <w:sz w:val="28"/>
          <w:szCs w:val="28"/>
        </w:rPr>
        <w:t>投资者权益须知</w:t>
      </w:r>
    </w:p>
    <w:p>
      <w:pPr>
        <w:rPr>
          <w:rFonts w:ascii="宋体" w:hAnsi="宋体"/>
          <w:b/>
          <w:color w:val="000000"/>
          <w:sz w:val="18"/>
          <w:szCs w:val="18"/>
        </w:rPr>
      </w:pPr>
      <w:r>
        <w:rPr>
          <w:rFonts w:hint="eastAsia" w:ascii="宋体" w:hAnsi="宋体"/>
          <w:b/>
          <w:color w:val="000000"/>
          <w:sz w:val="18"/>
          <w:szCs w:val="18"/>
        </w:rPr>
        <w:t>一、投资者购买理财产品的流程：</w:t>
      </w:r>
    </w:p>
    <w:p>
      <w:pPr>
        <w:rPr>
          <w:rFonts w:ascii="宋体" w:hAnsi="宋体"/>
          <w:b/>
          <w:color w:val="000000"/>
          <w:sz w:val="18"/>
          <w:szCs w:val="18"/>
        </w:rPr>
      </w:pPr>
      <w:r>
        <w:rPr>
          <w:rFonts w:ascii="Calibri" w:hAnsi="Calibri" w:eastAsia="宋体" w:cs="Calibri"/>
          <w:color w:val="000000"/>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color w:val="000000"/>
          <w:sz w:val="18"/>
          <w:szCs w:val="18"/>
        </w:rPr>
        <w:t>（一）投资者持购买理财产品所需材料至理财产品销售银行各营业网点办理。具体流程如下：</w:t>
      </w:r>
    </w:p>
    <w:p>
      <w:pPr>
        <w:rPr>
          <w:rFonts w:ascii="宋体" w:hAnsi="宋体"/>
          <w:color w:val="000000"/>
          <w:sz w:val="18"/>
          <w:szCs w:val="18"/>
        </w:rPr>
      </w:pPr>
    </w:p>
    <w:p>
      <w:pPr>
        <w:rPr>
          <w:rFonts w:ascii="宋体" w:hAnsi="宋体"/>
          <w:color w:val="000000"/>
          <w:sz w:val="18"/>
          <w:szCs w:val="18"/>
        </w:rPr>
      </w:pPr>
      <w:r>
        <w:rPr>
          <w:rFonts w:hint="eastAsia" w:ascii="宋体" w:hAnsi="宋体"/>
          <w:color w:val="000000"/>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color w:val="000000"/>
          <w:sz w:val="18"/>
          <w:szCs w:val="18"/>
        </w:rPr>
      </w:pPr>
      <w:r>
        <w:rPr>
          <w:rFonts w:hint="eastAsia" w:ascii="宋体" w:hAnsi="宋体"/>
          <w:b/>
          <w:bCs/>
          <w:color w:val="000000"/>
          <w:sz w:val="18"/>
          <w:szCs w:val="18"/>
        </w:rPr>
        <w:t>二、投资者风险承受能力评估及产品风险评级说明</w:t>
      </w:r>
    </w:p>
    <w:p>
      <w:pPr>
        <w:rPr>
          <w:rFonts w:ascii="宋体" w:hAnsi="宋体"/>
          <w:color w:val="000000"/>
          <w:sz w:val="18"/>
          <w:szCs w:val="18"/>
        </w:rPr>
      </w:pPr>
      <w:r>
        <w:rPr>
          <w:rFonts w:hint="eastAsia" w:ascii="宋体" w:hAnsi="宋体"/>
          <w:color w:val="000000"/>
          <w:sz w:val="18"/>
          <w:szCs w:val="18"/>
        </w:rPr>
        <w:t>（一）投资者首次购买理财产品的，须进行风险承受能力评估，首次风险承受能力评估须在理财产品销售银行各营业网点进行；</w:t>
      </w:r>
    </w:p>
    <w:p>
      <w:pPr>
        <w:rPr>
          <w:rFonts w:ascii="宋体" w:hAnsi="宋体"/>
          <w:color w:val="000000"/>
          <w:sz w:val="18"/>
          <w:szCs w:val="18"/>
        </w:rPr>
      </w:pPr>
      <w:r>
        <w:rPr>
          <w:rFonts w:hint="eastAsia" w:ascii="宋体" w:hAnsi="宋体"/>
          <w:color w:val="000000"/>
          <w:sz w:val="18"/>
          <w:szCs w:val="18"/>
        </w:rPr>
        <w:t>（二）超过一年未进行风险承受能力评估，再次购买理财产品须在理财产品销售银行各营业网点或者通过理财产品销售银行网上银行完成风险承受能力评估。</w:t>
      </w:r>
    </w:p>
    <w:p>
      <w:pPr>
        <w:rPr>
          <w:color w:val="000000"/>
        </w:rPr>
      </w:pPr>
      <w:r>
        <w:rPr>
          <w:rFonts w:hint="eastAsia" w:ascii="宋体" w:hAnsi="宋体"/>
          <w:color w:val="000000"/>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Pr>
        <w:rPr>
          <w:color w:val="000000"/>
        </w:rPr>
      </w:pPr>
    </w:p>
    <w:p>
      <w:pPr>
        <w:rPr>
          <w:color w:val="000000"/>
          <w:sz w:val="18"/>
          <w:szCs w:val="18"/>
        </w:rPr>
      </w:pPr>
      <w:r>
        <w:rPr>
          <w:rFonts w:hint="eastAsia"/>
          <w:color w:val="000000"/>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风险标识</w:t>
            </w:r>
            <w:r>
              <w:rPr>
                <w:rFonts w:hint="eastAsia" w:ascii="仿宋_GB2312" w:hAnsi="...." w:eastAsia="仿宋_GB2312"/>
                <w:vanish/>
                <w:color w:val="000000"/>
                <w:sz w:val="22"/>
                <w:szCs w:val="18"/>
              </w:rPr>
              <w:t>体情况风险品合同。若本产品说明书</w:t>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r>
              <w:rPr>
                <w:rFonts w:hint="eastAsia" w:ascii="仿宋_GB2312" w:hAnsi="...." w:eastAsia="仿宋_GB2312"/>
                <w:vanish/>
                <w:color w:val="000000"/>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18"/>
                <w:szCs w:val="18"/>
              </w:rPr>
            </w:pPr>
            <w:r>
              <w:rPr>
                <w:rFonts w:hint="eastAsia" w:ascii="宋体" w:hAnsi="宋体"/>
                <w:color w:val="000000"/>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color w:val="000000"/>
                <w:sz w:val="18"/>
                <w:szCs w:val="18"/>
              </w:rPr>
            </w:pPr>
            <w:r>
              <w:rPr>
                <w:rFonts w:hint="eastAsia" w:ascii="宋体" w:hAnsi="宋体" w:cs="宋体"/>
                <w:color w:val="000000"/>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 w:val="18"/>
                <w:szCs w:val="18"/>
              </w:rPr>
            </w:pPr>
            <w:r>
              <w:rPr>
                <w:rFonts w:hint="eastAsia" w:ascii="宋体" w:hAnsi="宋体"/>
                <w:color w:val="000000"/>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color w:val="000000"/>
                <w:sz w:val="18"/>
                <w:szCs w:val="18"/>
              </w:rPr>
            </w:pPr>
            <w:r>
              <w:rPr>
                <w:rFonts w:hint="eastAsia" w:ascii="宋体" w:hAnsi="宋体" w:cs="宋体"/>
                <w:color w:val="000000"/>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color w:val="000000"/>
                <w:sz w:val="18"/>
                <w:szCs w:val="18"/>
              </w:rPr>
            </w:pPr>
            <w:r>
              <w:rPr>
                <w:rFonts w:hint="eastAsia" w:ascii="宋体" w:hAnsi="宋体"/>
                <w:color w:val="000000"/>
                <w:sz w:val="18"/>
                <w:szCs w:val="18"/>
              </w:rPr>
              <w:t>风险承受能力五级投资者，即积极进取型的有投资经验的投资者</w:t>
            </w:r>
          </w:p>
        </w:tc>
      </w:tr>
    </w:tbl>
    <w:p>
      <w:pPr>
        <w:rPr>
          <w:rFonts w:ascii="宋体" w:hAnsi="宋体"/>
          <w:b/>
          <w:color w:val="000000"/>
          <w:sz w:val="18"/>
          <w:szCs w:val="18"/>
        </w:rPr>
      </w:pPr>
    </w:p>
    <w:p>
      <w:pPr>
        <w:rPr>
          <w:rFonts w:ascii="宋体" w:hAnsi="宋体"/>
          <w:b/>
          <w:color w:val="000000"/>
          <w:sz w:val="18"/>
          <w:szCs w:val="18"/>
        </w:rPr>
      </w:pPr>
      <w:r>
        <w:rPr>
          <w:rFonts w:hint="eastAsia" w:ascii="宋体" w:hAnsi="宋体"/>
          <w:b/>
          <w:color w:val="000000"/>
          <w:sz w:val="18"/>
          <w:szCs w:val="18"/>
        </w:rPr>
        <w:t>三、信息披露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1、产品管理人将按照本理财产品产品说明书的约定，进行信息披露。</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产品管理人在有关披露事项的报告或通知制作完毕后，</w:t>
      </w:r>
      <w:r>
        <w:rPr>
          <w:rFonts w:hint="eastAsia" w:ascii="宋体" w:hAnsi="宋体" w:cs="宋体"/>
          <w:b/>
          <w:bCs/>
          <w:color w:val="000000"/>
          <w:kern w:val="0"/>
          <w:sz w:val="18"/>
          <w:szCs w:val="18"/>
        </w:rPr>
        <w:t>可视情况选择以下一种或多种方式报告给投资者</w:t>
      </w:r>
      <w:r>
        <w:rPr>
          <w:rFonts w:hint="eastAsia" w:ascii="宋体" w:hAnsi="宋体" w:cs="宋体"/>
          <w:color w:val="000000"/>
          <w:kern w:val="0"/>
          <w:sz w:val="18"/>
          <w:szCs w:val="18"/>
        </w:rPr>
        <w:t>：产品管理人</w:t>
      </w:r>
      <w:r>
        <w:rPr>
          <w:rFonts w:hint="eastAsia" w:ascii="宋体" w:hAnsi="宋体" w:cs="宋体"/>
          <w:b/>
          <w:bCs/>
          <w:color w:val="000000"/>
          <w:kern w:val="0"/>
          <w:sz w:val="18"/>
          <w:szCs w:val="18"/>
        </w:rPr>
        <w:t>官方网站（www.csrcbank.com）、营业网点、手机银行、网上银行、电子邮件、电话、以信函形式邮寄、手机短信等。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w:t>
      </w:r>
      <w:r>
        <w:rPr>
          <w:rFonts w:hint="eastAsia" w:ascii="宋体" w:hAnsi="宋体" w:cs="宋体"/>
          <w:b/>
          <w:bCs/>
          <w:color w:val="000000"/>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color w:val="000000"/>
          <w:kern w:val="0"/>
          <w:sz w:val="18"/>
          <w:szCs w:val="18"/>
        </w:rPr>
      </w:pPr>
      <w:r>
        <w:rPr>
          <w:rFonts w:hint="eastAsia" w:ascii="宋体" w:hAnsi="宋体" w:cs="宋体"/>
          <w:color w:val="000000"/>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color w:val="000000"/>
          <w:szCs w:val="21"/>
        </w:rPr>
      </w:pPr>
      <w:r>
        <w:rPr>
          <w:rFonts w:hint="eastAsia" w:ascii="宋体" w:hAnsi="宋体" w:cs="宋体"/>
          <w:b/>
          <w:bCs/>
          <w:color w:val="000000"/>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4、</w:t>
      </w:r>
      <w:r>
        <w:rPr>
          <w:rFonts w:hint="eastAsia" w:ascii="宋体" w:hAnsi="宋体" w:cs="宋体"/>
          <w:b/>
          <w:bCs/>
          <w:color w:val="000000"/>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color w:val="000000"/>
          <w:kern w:val="0"/>
          <w:sz w:val="18"/>
          <w:szCs w:val="18"/>
        </w:rPr>
        <w:t>投资者可按照公告说明提起异议，未在公告规定时间明确提出异议的，视为投资者接受修订。</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（1）适用的法律法规要求披露的；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（2）司法部门或监管机构依法要求披露的；</w:t>
      </w:r>
    </w:p>
    <w:p>
      <w:pPr>
        <w:widowControl/>
        <w:ind w:firstLine="361" w:firstLineChars="200"/>
        <w:jc w:val="left"/>
        <w:rPr>
          <w:rFonts w:ascii="宋体" w:hAnsi="宋体" w:cs="宋体"/>
          <w:b/>
          <w:bCs/>
          <w:color w:val="000000"/>
          <w:kern w:val="0"/>
          <w:sz w:val="18"/>
          <w:szCs w:val="18"/>
        </w:rPr>
      </w:pPr>
      <w:r>
        <w:rPr>
          <w:rFonts w:hint="eastAsia" w:ascii="宋体" w:hAnsi="宋体" w:cs="宋体"/>
          <w:b/>
          <w:bCs/>
          <w:color w:val="000000"/>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color w:val="000000"/>
          <w:kern w:val="0"/>
          <w:sz w:val="18"/>
          <w:szCs w:val="18"/>
        </w:rPr>
      </w:pPr>
      <w:r>
        <w:rPr>
          <w:rFonts w:hint="eastAsia" w:ascii="宋体" w:hAnsi="宋体" w:cs="宋体"/>
          <w:b/>
          <w:bCs/>
          <w:color w:val="000000"/>
          <w:kern w:val="0"/>
          <w:sz w:val="18"/>
          <w:szCs w:val="18"/>
        </w:rPr>
        <w:t>（4）投资者另行明确同意或授权产品管理人进行披露的。</w:t>
      </w:r>
    </w:p>
    <w:p>
      <w:pPr>
        <w:ind w:firstLine="361" w:firstLineChars="200"/>
        <w:rPr>
          <w:rFonts w:ascii="宋体" w:hAnsi="宋体"/>
          <w:b/>
          <w:color w:val="000000"/>
          <w:sz w:val="18"/>
          <w:szCs w:val="18"/>
        </w:rPr>
      </w:pPr>
      <w:r>
        <w:rPr>
          <w:rFonts w:hint="eastAsia" w:ascii="宋体" w:hAnsi="宋体"/>
          <w:b/>
          <w:color w:val="000000"/>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color w:val="000000"/>
          <w:sz w:val="18"/>
          <w:szCs w:val="18"/>
        </w:rPr>
      </w:pPr>
      <w:r>
        <w:rPr>
          <w:rFonts w:hint="eastAsia" w:ascii="宋体" w:hAnsi="宋体"/>
          <w:b/>
          <w:color w:val="000000"/>
          <w:sz w:val="18"/>
          <w:szCs w:val="18"/>
        </w:rPr>
        <w:t>四、投诉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销售银行各营业网均设立专员负责受理客户的投诉。</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3、各网点营业大厅显要处设立意见箱或意见簿，定期检查客户投诉记录并及时处理。</w:t>
      </w:r>
    </w:p>
    <w:p>
      <w:pPr>
        <w:ind w:firstLine="360" w:firstLineChars="200"/>
        <w:jc w:val="left"/>
        <w:rPr>
          <w:rFonts w:ascii="宋体" w:hAnsi="宋体"/>
          <w:color w:val="000000"/>
          <w:sz w:val="18"/>
          <w:szCs w:val="18"/>
        </w:rPr>
      </w:pPr>
      <w:r>
        <w:rPr>
          <w:rFonts w:hint="eastAsia" w:ascii="宋体" w:hAnsi="宋体" w:cs="宋体"/>
          <w:color w:val="000000"/>
          <w:kern w:val="0"/>
          <w:sz w:val="18"/>
          <w:szCs w:val="18"/>
        </w:rPr>
        <w:t>4、登陆产品管理人官方网站</w:t>
      </w:r>
      <w:r>
        <w:rPr>
          <w:rFonts w:ascii="宋体" w:hAnsi="宋体" w:cs="宋体"/>
          <w:color w:val="000000"/>
          <w:kern w:val="0"/>
          <w:sz w:val="18"/>
          <w:szCs w:val="18"/>
          <w:u w:val="single"/>
        </w:rPr>
        <w:t>www.</w:t>
      </w:r>
      <w:r>
        <w:rPr>
          <w:rFonts w:hint="eastAsia" w:ascii="宋体" w:hAnsi="宋体" w:cs="宋体"/>
          <w:color w:val="000000"/>
          <w:kern w:val="0"/>
          <w:sz w:val="18"/>
          <w:szCs w:val="18"/>
          <w:u w:val="single"/>
        </w:rPr>
        <w:t>csrcbank</w:t>
      </w:r>
      <w:r>
        <w:rPr>
          <w:rFonts w:ascii="宋体" w:hAnsi="宋体" w:cs="宋体"/>
          <w:color w:val="000000"/>
          <w:kern w:val="0"/>
          <w:sz w:val="18"/>
          <w:szCs w:val="18"/>
          <w:u w:val="single"/>
        </w:rPr>
        <w:t>.com</w:t>
      </w:r>
      <w:r>
        <w:rPr>
          <w:rFonts w:hint="eastAsia" w:ascii="宋体" w:hAnsi="宋体" w:cs="宋体"/>
          <w:color w:val="000000"/>
          <w:kern w:val="0"/>
          <w:sz w:val="18"/>
          <w:szCs w:val="18"/>
        </w:rPr>
        <w:t>进行反映，产品管理人将按照相关流程予以受理。</w:t>
      </w:r>
    </w:p>
    <w:p>
      <w:pPr>
        <w:rPr>
          <w:rFonts w:ascii="宋体" w:hAnsi="宋体"/>
          <w:b/>
          <w:bCs/>
          <w:color w:val="000000"/>
          <w:sz w:val="18"/>
          <w:szCs w:val="18"/>
        </w:rPr>
      </w:pPr>
      <w:r>
        <w:rPr>
          <w:rFonts w:hint="eastAsia" w:ascii="宋体" w:hAnsi="宋体"/>
          <w:b/>
          <w:bCs/>
          <w:color w:val="000000"/>
          <w:sz w:val="18"/>
          <w:szCs w:val="18"/>
        </w:rPr>
        <w:t>五、常熟农商银行联络方式：</w:t>
      </w:r>
    </w:p>
    <w:p>
      <w:pPr>
        <w:ind w:firstLine="360" w:firstLineChars="200"/>
        <w:jc w:val="left"/>
        <w:rPr>
          <w:rFonts w:ascii="宋体" w:hAnsi="宋体" w:cs="宋体"/>
          <w:color w:val="000000"/>
          <w:kern w:val="0"/>
          <w:sz w:val="18"/>
          <w:szCs w:val="18"/>
        </w:rPr>
      </w:pPr>
      <w:r>
        <w:rPr>
          <w:rFonts w:hint="eastAsia" w:ascii="宋体" w:hAnsi="宋体" w:cs="宋体"/>
          <w:color w:val="000000"/>
          <w:kern w:val="0"/>
          <w:sz w:val="18"/>
          <w:szCs w:val="18"/>
        </w:rPr>
        <w:t>客服电话：956020        官方网站：</w:t>
      </w:r>
      <w:r>
        <w:rPr>
          <w:color w:val="000000"/>
        </w:rPr>
        <w:fldChar w:fldCharType="begin"/>
      </w:r>
      <w:r>
        <w:rPr>
          <w:color w:val="000000"/>
        </w:rPr>
        <w:instrText xml:space="preserve"> HYPERLINK "http://www.csrcbank.com/" </w:instrText>
      </w:r>
      <w:r>
        <w:rPr>
          <w:color w:val="000000"/>
        </w:rPr>
        <w:fldChar w:fldCharType="separate"/>
      </w:r>
      <w:r>
        <w:rPr>
          <w:rStyle w:val="12"/>
          <w:rFonts w:ascii="宋体" w:hAnsi="宋体" w:cs="宋体"/>
          <w:color w:val="000000"/>
          <w:kern w:val="0"/>
          <w:sz w:val="18"/>
          <w:szCs w:val="18"/>
        </w:rPr>
        <w:t>www.</w:t>
      </w:r>
      <w:r>
        <w:rPr>
          <w:rStyle w:val="12"/>
          <w:rFonts w:hint="eastAsia" w:ascii="宋体" w:hAnsi="宋体" w:cs="宋体"/>
          <w:color w:val="000000"/>
          <w:kern w:val="0"/>
          <w:sz w:val="18"/>
          <w:szCs w:val="18"/>
        </w:rPr>
        <w:t>csrcbank</w:t>
      </w:r>
      <w:r>
        <w:rPr>
          <w:rStyle w:val="12"/>
          <w:rFonts w:ascii="宋体" w:hAnsi="宋体" w:cs="宋体"/>
          <w:color w:val="000000"/>
          <w:kern w:val="0"/>
          <w:sz w:val="18"/>
          <w:szCs w:val="18"/>
        </w:rPr>
        <w:t>.com</w:t>
      </w:r>
      <w:r>
        <w:rPr>
          <w:rStyle w:val="12"/>
          <w:rFonts w:ascii="宋体" w:hAnsi="宋体" w:cs="宋体"/>
          <w:color w:val="000000"/>
          <w:kern w:val="0"/>
          <w:sz w:val="18"/>
          <w:szCs w:val="18"/>
        </w:rPr>
        <w:fldChar w:fldCharType="end"/>
      </w:r>
    </w:p>
    <w:p>
      <w:pPr>
        <w:jc w:val="left"/>
        <w:rPr>
          <w:rFonts w:ascii="宋体" w:hAnsi="宋体" w:cs="宋体"/>
          <w:b/>
          <w:color w:val="000000"/>
          <w:kern w:val="0"/>
          <w:sz w:val="18"/>
          <w:szCs w:val="18"/>
        </w:rPr>
      </w:pPr>
      <w:r>
        <w:rPr>
          <w:rFonts w:hint="eastAsia" w:ascii="宋体" w:hAnsi="宋体" w:cs="宋体"/>
          <w:b/>
          <w:color w:val="000000"/>
          <w:kern w:val="0"/>
          <w:sz w:val="18"/>
          <w:szCs w:val="18"/>
        </w:rPr>
        <w:t>六、本投资者权益须知与理财产品协议书、理财产品说明书、风险揭示书共同构成完整不可分割的理财产品合同。</w:t>
      </w:r>
    </w:p>
    <w:p>
      <w:pPr>
        <w:jc w:val="left"/>
        <w:rPr>
          <w:rFonts w:ascii="宋体" w:hAnsi="宋体" w:cs="宋体"/>
          <w:b/>
          <w:color w:val="000000"/>
          <w:kern w:val="0"/>
          <w:sz w:val="18"/>
          <w:szCs w:val="18"/>
        </w:rPr>
      </w:pPr>
    </w:p>
    <w:p>
      <w:pPr>
        <w:snapToGrid w:val="0"/>
        <w:spacing w:beforeLines="50" w:line="480" w:lineRule="exact"/>
        <w:jc w:val="center"/>
        <w:rPr>
          <w:color w:val="000000"/>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hint="eastAsia" w:ascii="宋体" w:hAnsi="宋体"/>
          <w:b/>
          <w:bCs/>
          <w:color w:val="000000"/>
          <w:sz w:val="28"/>
          <w:szCs w:val="18"/>
        </w:rPr>
      </w:pPr>
    </w:p>
    <w:p>
      <w:pPr>
        <w:jc w:val="center"/>
        <w:rPr>
          <w:rFonts w:ascii="宋体" w:hAnsi="宋体"/>
          <w:b/>
          <w:bCs/>
          <w:color w:val="000000"/>
          <w:sz w:val="28"/>
          <w:szCs w:val="18"/>
        </w:rPr>
      </w:pPr>
      <w:r>
        <w:rPr>
          <w:rFonts w:hint="eastAsia" w:ascii="宋体" w:hAnsi="宋体"/>
          <w:b/>
          <w:bCs/>
          <w:color w:val="000000"/>
          <w:sz w:val="28"/>
          <w:szCs w:val="18"/>
        </w:rPr>
        <w:t>理财产品协议书</w:t>
      </w:r>
    </w:p>
    <w:p>
      <w:pPr>
        <w:tabs>
          <w:tab w:val="left" w:pos="720"/>
        </w:tabs>
        <w:ind w:firstLine="360" w:firstLineChars="200"/>
        <w:jc w:val="center"/>
        <w:rPr>
          <w:rFonts w:ascii="宋体" w:hAnsi="宋体"/>
          <w:color w:val="000000"/>
          <w:sz w:val="18"/>
          <w:szCs w:val="18"/>
        </w:rPr>
      </w:pPr>
      <w:r>
        <w:rPr>
          <w:rFonts w:hint="eastAsia" w:ascii="宋体" w:hAnsi="宋体"/>
          <w:color w:val="000000"/>
          <w:sz w:val="18"/>
          <w:szCs w:val="18"/>
        </w:rPr>
        <w:t>（适用于常熟农商银行销售）</w:t>
      </w:r>
    </w:p>
    <w:p>
      <w:pPr>
        <w:ind w:firstLine="360" w:firstLineChars="200"/>
        <w:rPr>
          <w:rFonts w:ascii="宋体" w:hAnsi="宋体"/>
          <w:color w:val="000000"/>
          <w:sz w:val="18"/>
          <w:szCs w:val="18"/>
        </w:rPr>
      </w:pPr>
    </w:p>
    <w:p>
      <w:pPr>
        <w:ind w:firstLine="360" w:firstLineChars="200"/>
        <w:rPr>
          <w:rFonts w:ascii="宋体" w:hAnsi="宋体"/>
          <w:color w:val="000000"/>
          <w:sz w:val="18"/>
          <w:szCs w:val="18"/>
        </w:rPr>
      </w:pPr>
      <w:r>
        <w:rPr>
          <w:rFonts w:hint="eastAsia" w:ascii="宋体" w:hAnsi="宋体"/>
          <w:color w:val="000000"/>
          <w:sz w:val="18"/>
          <w:szCs w:val="18"/>
        </w:rPr>
        <w:t>甲方：投资者</w:t>
      </w:r>
    </w:p>
    <w:p>
      <w:pPr>
        <w:ind w:firstLine="360" w:firstLineChars="200"/>
        <w:rPr>
          <w:rFonts w:ascii="宋体" w:hAnsi="宋体"/>
          <w:color w:val="000000"/>
          <w:sz w:val="18"/>
          <w:szCs w:val="18"/>
        </w:rPr>
      </w:pPr>
      <w:r>
        <w:rPr>
          <w:rFonts w:hint="eastAsia" w:ascii="宋体" w:hAnsi="宋体"/>
          <w:color w:val="000000"/>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经甲方与乙方协商一致，就甲方向乙方购买理财产品，达成协议如下：</w:t>
      </w:r>
    </w:p>
    <w:p>
      <w:pPr>
        <w:tabs>
          <w:tab w:val="left" w:pos="720"/>
        </w:tabs>
        <w:rPr>
          <w:rFonts w:ascii="宋体" w:hAnsi="宋体"/>
          <w:b/>
          <w:bCs/>
          <w:color w:val="000000"/>
          <w:sz w:val="18"/>
          <w:szCs w:val="18"/>
        </w:rPr>
      </w:pPr>
      <w:r>
        <w:rPr>
          <w:rFonts w:hint="eastAsia" w:ascii="宋体" w:hAnsi="宋体"/>
          <w:b/>
          <w:bCs/>
          <w:color w:val="000000"/>
          <w:sz w:val="18"/>
          <w:szCs w:val="18"/>
        </w:rPr>
        <w:t>一、风险揭示</w:t>
      </w:r>
    </w:p>
    <w:p>
      <w:pPr>
        <w:tabs>
          <w:tab w:val="left" w:pos="720"/>
        </w:tabs>
        <w:ind w:firstLine="361" w:firstLineChars="200"/>
        <w:rPr>
          <w:rFonts w:ascii="宋体" w:hAnsi="宋体"/>
          <w:color w:val="000000"/>
          <w:sz w:val="18"/>
          <w:szCs w:val="18"/>
        </w:rPr>
      </w:pPr>
      <w:r>
        <w:rPr>
          <w:rFonts w:hint="eastAsia" w:ascii="宋体" w:hAnsi="宋体"/>
          <w:b/>
          <w:bCs/>
          <w:color w:val="000000"/>
          <w:sz w:val="18"/>
          <w:szCs w:val="18"/>
        </w:rPr>
        <w:t>理财非存款、产品有风险、投资须谨慎。</w:t>
      </w:r>
      <w:r>
        <w:rPr>
          <w:rFonts w:hint="eastAsia" w:ascii="宋体" w:hAnsi="宋体"/>
          <w:color w:val="000000"/>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color w:val="000000"/>
          <w:sz w:val="18"/>
          <w:szCs w:val="18"/>
        </w:rPr>
      </w:pPr>
      <w:r>
        <w:rPr>
          <w:rFonts w:hint="eastAsia" w:ascii="宋体" w:hAnsi="宋体"/>
          <w:b/>
          <w:bCs/>
          <w:color w:val="000000"/>
          <w:sz w:val="18"/>
          <w:szCs w:val="18"/>
        </w:rPr>
        <w:t>二、甲方认购/申购金额及账户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color w:val="000000"/>
          <w:sz w:val="18"/>
          <w:szCs w:val="18"/>
        </w:rPr>
      </w:pPr>
      <w:r>
        <w:rPr>
          <w:rFonts w:hint="eastAsia" w:ascii="宋体" w:hAnsi="宋体" w:cs="宋体"/>
          <w:color w:val="000000"/>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color w:val="000000"/>
          <w:sz w:val="18"/>
          <w:szCs w:val="18"/>
        </w:rPr>
      </w:pPr>
      <w:r>
        <w:rPr>
          <w:rFonts w:hint="eastAsia" w:ascii="宋体" w:hAnsi="宋体" w:cs="宋体"/>
          <w:color w:val="000000"/>
          <w:sz w:val="18"/>
          <w:szCs w:val="18"/>
        </w:rPr>
        <w:t>三、</w:t>
      </w:r>
      <w:r>
        <w:rPr>
          <w:rFonts w:hint="eastAsia" w:ascii="宋体" w:hAnsi="宋体"/>
          <w:b/>
          <w:bCs/>
          <w:color w:val="000000"/>
          <w:sz w:val="18"/>
          <w:szCs w:val="18"/>
        </w:rPr>
        <w:t>甲方声明与承诺</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1、</w:t>
      </w:r>
      <w:r>
        <w:rPr>
          <w:rFonts w:hint="eastAsia" w:ascii="宋体" w:hAnsi="宋体"/>
          <w:b/>
          <w:bCs/>
          <w:color w:val="000000"/>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2、甲方以</w:t>
      </w:r>
      <w:r>
        <w:rPr>
          <w:rFonts w:hint="eastAsia" w:ascii="宋体" w:hAnsi="宋体"/>
          <w:b/>
          <w:bCs/>
          <w:color w:val="000000"/>
          <w:sz w:val="18"/>
          <w:szCs w:val="18"/>
        </w:rPr>
        <w:t>本人合法所有的资金购</w:t>
      </w:r>
      <w:r>
        <w:rPr>
          <w:rFonts w:hint="eastAsia" w:ascii="宋体" w:hAnsi="宋体"/>
          <w:color w:val="000000"/>
          <w:sz w:val="18"/>
          <w:szCs w:val="18"/>
        </w:rPr>
        <w:t>买乙方提供的产品，并能充分理解所购买产品的内容，完全知晓产品可能出现的各种风险，</w:t>
      </w:r>
      <w:r>
        <w:rPr>
          <w:rFonts w:hint="eastAsia" w:ascii="宋体" w:hAnsi="宋体"/>
          <w:b/>
          <w:bCs/>
          <w:color w:val="000000"/>
          <w:sz w:val="18"/>
          <w:szCs w:val="18"/>
        </w:rPr>
        <w:t>愿意并能够承担风险。乙方向甲方提供的市场分析和预测仅供参考，</w:t>
      </w:r>
      <w:r>
        <w:rPr>
          <w:rFonts w:hint="eastAsia" w:ascii="宋体" w:hAnsi="宋体"/>
          <w:color w:val="000000"/>
          <w:sz w:val="18"/>
          <w:szCs w:val="18"/>
        </w:rPr>
        <w:t>甲方据此做出的任何决策均出于甲方自身的判断。</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3、</w:t>
      </w:r>
      <w:r>
        <w:rPr>
          <w:rFonts w:hint="eastAsia" w:ascii="宋体" w:hAnsi="宋体"/>
          <w:b/>
          <w:bCs/>
          <w:color w:val="000000"/>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4、</w:t>
      </w:r>
      <w:r>
        <w:rPr>
          <w:rFonts w:hint="eastAsia" w:ascii="宋体" w:hAnsi="宋体"/>
          <w:b/>
          <w:bCs/>
          <w:color w:val="000000"/>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color w:val="000000"/>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color w:val="000000"/>
          <w:sz w:val="18"/>
          <w:szCs w:val="18"/>
        </w:rPr>
      </w:pPr>
      <w:r>
        <w:rPr>
          <w:rFonts w:hint="eastAsia" w:ascii="宋体" w:hAnsi="宋体"/>
          <w:color w:val="000000"/>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color w:val="000000"/>
          <w:sz w:val="18"/>
          <w:szCs w:val="18"/>
        </w:rPr>
      </w:pPr>
      <w:r>
        <w:rPr>
          <w:rFonts w:hint="eastAsia" w:ascii="宋体" w:hAnsi="宋体"/>
          <w:b/>
          <w:bCs/>
          <w:color w:val="000000"/>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color w:val="000000"/>
          <w:sz w:val="18"/>
          <w:szCs w:val="18"/>
        </w:rPr>
      </w:pPr>
      <w:r>
        <w:rPr>
          <w:rFonts w:hint="eastAsia" w:ascii="宋体" w:hAnsi="宋体"/>
          <w:b/>
          <w:bCs/>
          <w:color w:val="000000"/>
          <w:sz w:val="18"/>
          <w:szCs w:val="18"/>
        </w:rPr>
        <w:t>四、赎回和提前终止</w:t>
      </w:r>
    </w:p>
    <w:p>
      <w:pPr>
        <w:ind w:firstLine="360" w:firstLineChars="200"/>
        <w:rPr>
          <w:rFonts w:ascii="宋体" w:hAnsi="宋体"/>
          <w:color w:val="000000"/>
          <w:sz w:val="18"/>
          <w:szCs w:val="18"/>
        </w:rPr>
      </w:pPr>
      <w:r>
        <w:rPr>
          <w:rFonts w:hint="eastAsia" w:ascii="宋体" w:hAnsi="宋体"/>
          <w:color w:val="000000"/>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color w:val="000000"/>
          <w:sz w:val="18"/>
          <w:szCs w:val="18"/>
        </w:rPr>
      </w:pPr>
      <w:r>
        <w:rPr>
          <w:rFonts w:hint="eastAsia" w:ascii="宋体" w:hAnsi="宋体"/>
          <w:color w:val="000000"/>
          <w:sz w:val="18"/>
          <w:szCs w:val="18"/>
        </w:rPr>
        <w:t>2、对于封闭式理财产品，除非理财产品说明书另有约定，乙方不提供部分或全部提前支取理财资金服务。</w:t>
      </w:r>
    </w:p>
    <w:p>
      <w:pPr>
        <w:rPr>
          <w:rFonts w:ascii="宋体" w:hAnsi="宋体"/>
          <w:b/>
          <w:bCs/>
          <w:color w:val="000000"/>
          <w:sz w:val="18"/>
          <w:szCs w:val="18"/>
        </w:rPr>
      </w:pPr>
      <w:r>
        <w:rPr>
          <w:rFonts w:hint="eastAsia" w:ascii="宋体" w:hAnsi="宋体"/>
          <w:b/>
          <w:bCs/>
          <w:color w:val="000000"/>
          <w:sz w:val="18"/>
          <w:szCs w:val="18"/>
        </w:rPr>
        <w:t>五、免责</w:t>
      </w:r>
    </w:p>
    <w:p>
      <w:pPr>
        <w:ind w:firstLine="361" w:firstLineChars="200"/>
        <w:rPr>
          <w:rFonts w:ascii="宋体" w:hAnsi="宋体"/>
          <w:b/>
          <w:bCs/>
          <w:color w:val="000000"/>
          <w:sz w:val="18"/>
          <w:szCs w:val="18"/>
        </w:rPr>
      </w:pPr>
      <w:r>
        <w:rPr>
          <w:rFonts w:hint="eastAsia" w:ascii="宋体" w:hAnsi="宋体"/>
          <w:b/>
          <w:bCs/>
          <w:color w:val="000000"/>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color w:val="000000"/>
          <w:sz w:val="18"/>
          <w:szCs w:val="18"/>
        </w:rPr>
      </w:pPr>
      <w:r>
        <w:rPr>
          <w:rFonts w:hint="eastAsia" w:ascii="宋体" w:hAnsi="宋体"/>
          <w:b/>
          <w:bCs/>
          <w:color w:val="000000"/>
          <w:sz w:val="18"/>
          <w:szCs w:val="18"/>
        </w:rPr>
        <w:t>2、由于国家的有关法律、法规、规章、政策的改变、紧急措施的出台而导致的风险，乙方不承担责任。</w:t>
      </w:r>
    </w:p>
    <w:p>
      <w:pPr>
        <w:ind w:firstLine="361" w:firstLineChars="200"/>
        <w:rPr>
          <w:rFonts w:ascii="宋体" w:hAnsi="宋体"/>
          <w:b/>
          <w:bCs/>
          <w:color w:val="000000"/>
          <w:sz w:val="18"/>
          <w:szCs w:val="18"/>
        </w:rPr>
      </w:pPr>
      <w:r>
        <w:rPr>
          <w:rFonts w:hint="eastAsia" w:ascii="宋体" w:hAnsi="宋体"/>
          <w:b/>
          <w:bCs/>
          <w:color w:val="000000"/>
          <w:sz w:val="18"/>
          <w:szCs w:val="18"/>
        </w:rPr>
        <w:t>3、</w:t>
      </w:r>
      <w:r>
        <w:rPr>
          <w:rFonts w:hint="eastAsia" w:ascii="宋体" w:hAnsi="宋体"/>
          <w:b/>
          <w:bCs/>
          <w:color w:val="000000"/>
          <w:spacing w:val="-3"/>
          <w:sz w:val="18"/>
          <w:szCs w:val="18"/>
        </w:rPr>
        <w:t>本协议及产品说明书中涉及的所有日期如遇非工作日，</w:t>
      </w:r>
      <w:r>
        <w:rPr>
          <w:rFonts w:hint="eastAsia" w:ascii="宋体" w:hAnsi="宋体"/>
          <w:b/>
          <w:bCs/>
          <w:color w:val="000000"/>
          <w:sz w:val="18"/>
          <w:szCs w:val="18"/>
        </w:rPr>
        <w:t>则顺延至下一个工作日，赎回款项或到期兑付款项在途期间不支付利息，由此导致的风险，乙方不承担责任。</w:t>
      </w:r>
    </w:p>
    <w:p>
      <w:pPr>
        <w:ind w:firstLine="361" w:firstLineChars="200"/>
        <w:rPr>
          <w:rFonts w:ascii="宋体" w:hAnsi="宋体"/>
          <w:color w:val="000000"/>
          <w:sz w:val="18"/>
          <w:szCs w:val="18"/>
        </w:rPr>
      </w:pPr>
      <w:r>
        <w:rPr>
          <w:rFonts w:hint="eastAsia" w:ascii="宋体" w:hAnsi="宋体"/>
          <w:b/>
          <w:bCs/>
          <w:color w:val="000000"/>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color w:val="000000"/>
          <w:sz w:val="18"/>
          <w:szCs w:val="18"/>
        </w:rPr>
      </w:pPr>
      <w:r>
        <w:rPr>
          <w:rFonts w:hint="eastAsia" w:ascii="宋体" w:hAnsi="宋体"/>
          <w:b/>
          <w:bCs/>
          <w:color w:val="000000"/>
          <w:sz w:val="18"/>
          <w:szCs w:val="18"/>
        </w:rPr>
        <w:t>六、争议解决</w:t>
      </w:r>
    </w:p>
    <w:p>
      <w:pPr>
        <w:ind w:firstLine="360" w:firstLineChars="200"/>
        <w:rPr>
          <w:rFonts w:ascii="宋体" w:hAnsi="宋体"/>
          <w:color w:val="000000"/>
          <w:sz w:val="18"/>
          <w:szCs w:val="18"/>
        </w:rPr>
      </w:pPr>
      <w:r>
        <w:rPr>
          <w:rFonts w:hint="eastAsia" w:ascii="宋体" w:hAnsi="宋体"/>
          <w:color w:val="000000"/>
          <w:sz w:val="18"/>
          <w:szCs w:val="18"/>
        </w:rPr>
        <w:t>因履行本协议而引致的一切争议，双方应首先本着诚实信用原则通过协商解决。不能协商解决的，</w:t>
      </w:r>
      <w:r>
        <w:rPr>
          <w:rFonts w:hint="eastAsia" w:ascii="宋体" w:hAnsi="宋体"/>
          <w:b/>
          <w:bCs/>
          <w:color w:val="000000"/>
          <w:sz w:val="18"/>
          <w:szCs w:val="18"/>
        </w:rPr>
        <w:t>提交乙方所在地有管辖权人民法院诉讼解决。</w:t>
      </w:r>
    </w:p>
    <w:p>
      <w:pPr>
        <w:rPr>
          <w:rFonts w:ascii="宋体" w:hAnsi="宋体"/>
          <w:b/>
          <w:bCs/>
          <w:color w:val="000000"/>
          <w:sz w:val="18"/>
          <w:szCs w:val="18"/>
        </w:rPr>
      </w:pPr>
      <w:r>
        <w:rPr>
          <w:rFonts w:hint="eastAsia" w:ascii="宋体" w:hAnsi="宋体"/>
          <w:b/>
          <w:bCs/>
          <w:color w:val="000000"/>
          <w:sz w:val="18"/>
          <w:szCs w:val="18"/>
        </w:rPr>
        <w:t>七、协议的成立、生效及终止</w:t>
      </w:r>
    </w:p>
    <w:p>
      <w:pPr>
        <w:ind w:firstLine="360" w:firstLineChars="200"/>
        <w:rPr>
          <w:rFonts w:ascii="宋体" w:hAnsi="宋体"/>
          <w:b/>
          <w:bCs/>
          <w:color w:val="000000"/>
          <w:sz w:val="18"/>
          <w:szCs w:val="18"/>
        </w:rPr>
      </w:pPr>
      <w:r>
        <w:rPr>
          <w:rFonts w:hint="eastAsia" w:ascii="宋体" w:hAnsi="宋体"/>
          <w:color w:val="000000"/>
          <w:sz w:val="18"/>
          <w:szCs w:val="18"/>
        </w:rPr>
        <w:t>1、本协议通过乙方柜面签署的，在甲方</w:t>
      </w:r>
      <w:r>
        <w:rPr>
          <w:rFonts w:hint="eastAsia" w:ascii="宋体" w:hAnsi="宋体"/>
          <w:color w:val="000000"/>
          <w:sz w:val="18"/>
          <w:szCs w:val="18"/>
          <w:lang w:eastAsia="zh-CN"/>
        </w:rPr>
        <w:t>签名或按指印</w:t>
      </w:r>
      <w:r>
        <w:rPr>
          <w:rFonts w:hint="eastAsia" w:ascii="宋体" w:hAnsi="宋体"/>
          <w:color w:val="000000"/>
          <w:sz w:val="18"/>
          <w:szCs w:val="18"/>
        </w:rPr>
        <w:t>（甲方为自然人）或甲方加盖</w:t>
      </w:r>
      <w:r>
        <w:rPr>
          <w:rFonts w:hint="eastAsia" w:ascii="宋体" w:hAnsi="宋体"/>
          <w:color w:val="000000"/>
          <w:sz w:val="18"/>
          <w:szCs w:val="18"/>
          <w:lang w:eastAsia="zh-CN"/>
        </w:rPr>
        <w:t>预留印鉴</w:t>
      </w:r>
      <w:r>
        <w:rPr>
          <w:rFonts w:hint="eastAsia" w:ascii="宋体" w:hAnsi="宋体"/>
          <w:color w:val="000000"/>
          <w:sz w:val="18"/>
          <w:szCs w:val="18"/>
        </w:rPr>
        <w:t>（甲方为机构）且乙方加盖业务章之日起成立；</w:t>
      </w:r>
      <w:r>
        <w:rPr>
          <w:rFonts w:hint="eastAsia" w:ascii="宋体" w:hAnsi="宋体"/>
          <w:b/>
          <w:bCs/>
          <w:color w:val="000000"/>
          <w:sz w:val="18"/>
          <w:szCs w:val="18"/>
        </w:rPr>
        <w:t>本协议通过乙方网上银行、手机银行、VTM等电子渠道签署的，自甲方（自然人/机构）在电子渠道端自行点击确认后成立。</w:t>
      </w:r>
    </w:p>
    <w:p>
      <w:pPr>
        <w:ind w:firstLine="361" w:firstLineChars="200"/>
        <w:rPr>
          <w:rFonts w:ascii="宋体" w:hAnsi="宋体"/>
          <w:b/>
          <w:bCs/>
          <w:color w:val="000000"/>
          <w:sz w:val="18"/>
          <w:szCs w:val="18"/>
        </w:rPr>
      </w:pPr>
      <w:r>
        <w:rPr>
          <w:rFonts w:hint="eastAsia" w:ascii="宋体" w:hAnsi="宋体"/>
          <w:b/>
          <w:bCs/>
          <w:color w:val="000000"/>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color w:val="000000"/>
          <w:sz w:val="18"/>
          <w:szCs w:val="18"/>
        </w:rPr>
      </w:pPr>
      <w:r>
        <w:rPr>
          <w:rFonts w:hint="eastAsia" w:ascii="宋体" w:hAnsi="宋体"/>
          <w:b/>
          <w:bCs/>
          <w:color w:val="000000"/>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color w:val="000000"/>
          <w:sz w:val="18"/>
          <w:szCs w:val="18"/>
        </w:rPr>
      </w:pPr>
      <w:r>
        <w:rPr>
          <w:rFonts w:hint="eastAsia" w:ascii="宋体" w:hAnsi="宋体"/>
          <w:color w:val="000000"/>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color w:val="000000"/>
          <w:sz w:val="18"/>
          <w:szCs w:val="18"/>
        </w:rPr>
      </w:pPr>
      <w:r>
        <w:rPr>
          <w:rFonts w:hint="eastAsia" w:ascii="宋体" w:hAnsi="宋体"/>
          <w:b/>
          <w:bCs/>
          <w:color w:val="000000"/>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color w:val="000000"/>
          <w:sz w:val="18"/>
          <w:szCs w:val="18"/>
        </w:rPr>
      </w:pPr>
      <w:r>
        <w:rPr>
          <w:rFonts w:hint="eastAsia" w:ascii="宋体" w:hAnsi="宋体"/>
          <w:b/>
          <w:bCs/>
          <w:color w:val="000000"/>
          <w:sz w:val="18"/>
          <w:szCs w:val="18"/>
        </w:rPr>
        <w:t>八、附则</w:t>
      </w:r>
    </w:p>
    <w:p>
      <w:pPr>
        <w:ind w:firstLine="361" w:firstLineChars="200"/>
        <w:rPr>
          <w:rFonts w:ascii="宋体" w:hAnsi="宋体"/>
          <w:b/>
          <w:bCs/>
          <w:color w:val="000000"/>
          <w:sz w:val="18"/>
          <w:szCs w:val="18"/>
        </w:rPr>
      </w:pPr>
      <w:r>
        <w:rPr>
          <w:rFonts w:hint="eastAsia" w:ascii="宋体" w:hAnsi="宋体"/>
          <w:b/>
          <w:bCs/>
          <w:color w:val="000000"/>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color w:val="000000"/>
          <w:sz w:val="18"/>
          <w:szCs w:val="18"/>
        </w:rPr>
      </w:pPr>
      <w:r>
        <w:rPr>
          <w:rFonts w:hint="eastAsia" w:ascii="宋体" w:hAnsi="宋体"/>
          <w:color w:val="000000"/>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color w:val="000000"/>
          <w:szCs w:val="21"/>
          <w:u w:val="single"/>
        </w:rPr>
      </w:pPr>
      <w:r>
        <w:rPr>
          <w:rFonts w:hint="eastAsia" w:ascii="宋体" w:hAnsi="宋体" w:cs="宋体"/>
          <w:b/>
          <w:bCs/>
          <w:i/>
          <w:iCs/>
          <w:color w:val="000000"/>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甲方                                          乙方（</w:t>
      </w:r>
      <w:r>
        <w:rPr>
          <w:rFonts w:hint="eastAsia" w:ascii="宋体" w:hAnsi="宋体" w:cs="宋体"/>
          <w:color w:val="000000"/>
          <w:sz w:val="18"/>
          <w:szCs w:val="18"/>
          <w:lang w:eastAsia="zh-CN"/>
        </w:rPr>
        <w:t>业务章</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机构</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预留印鉴</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r>
        <w:rPr>
          <w:rFonts w:hint="eastAsia" w:ascii="宋体" w:hAnsi="宋体" w:cs="宋体"/>
          <w:color w:val="000000"/>
          <w:sz w:val="18"/>
          <w:szCs w:val="18"/>
        </w:rPr>
        <w:t xml:space="preserve">  个人</w:t>
      </w:r>
      <w:r>
        <w:rPr>
          <w:rFonts w:hint="eastAsia" w:ascii="宋体" w:hAnsi="宋体" w:cs="宋体"/>
          <w:color w:val="000000"/>
          <w:sz w:val="18"/>
          <w:szCs w:val="18"/>
          <w:lang w:eastAsia="zh-CN"/>
        </w:rPr>
        <w:t>投资者</w:t>
      </w:r>
      <w:r>
        <w:rPr>
          <w:rFonts w:hint="eastAsia" w:ascii="宋体" w:hAnsi="宋体" w:cs="宋体"/>
          <w:color w:val="000000"/>
          <w:sz w:val="18"/>
          <w:szCs w:val="18"/>
        </w:rPr>
        <w:t>（</w:t>
      </w:r>
      <w:r>
        <w:rPr>
          <w:rFonts w:hint="eastAsia" w:ascii="宋体" w:hAnsi="宋体" w:cs="宋体"/>
          <w:color w:val="000000"/>
          <w:sz w:val="18"/>
          <w:szCs w:val="18"/>
          <w:lang w:eastAsia="zh-CN"/>
        </w:rPr>
        <w:t>签名或按指印</w:t>
      </w:r>
      <w:r>
        <w:rPr>
          <w:rFonts w:hint="eastAsia" w:ascii="宋体" w:hAnsi="宋体" w:cs="宋体"/>
          <w:color w:val="000000"/>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color w:val="000000"/>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rPr>
          <w:color w:val="000000"/>
        </w:rPr>
      </w:pPr>
      <w:r>
        <w:rPr>
          <w:rFonts w:hint="eastAsia" w:ascii="宋体" w:hAnsi="宋体" w:cs="宋体"/>
          <w:color w:val="000000"/>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12</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2E97"/>
    <w:rsid w:val="00004F37"/>
    <w:rsid w:val="00006269"/>
    <w:rsid w:val="0001614C"/>
    <w:rsid w:val="000200A7"/>
    <w:rsid w:val="000309B4"/>
    <w:rsid w:val="00037BF0"/>
    <w:rsid w:val="00040800"/>
    <w:rsid w:val="00046F90"/>
    <w:rsid w:val="00050D3D"/>
    <w:rsid w:val="00050F51"/>
    <w:rsid w:val="00052A6F"/>
    <w:rsid w:val="000572BC"/>
    <w:rsid w:val="000620BD"/>
    <w:rsid w:val="000705DB"/>
    <w:rsid w:val="00071348"/>
    <w:rsid w:val="00082576"/>
    <w:rsid w:val="00083C00"/>
    <w:rsid w:val="000904BB"/>
    <w:rsid w:val="00092518"/>
    <w:rsid w:val="00092599"/>
    <w:rsid w:val="000940EC"/>
    <w:rsid w:val="000A26AD"/>
    <w:rsid w:val="000A38CD"/>
    <w:rsid w:val="000B1565"/>
    <w:rsid w:val="000B1658"/>
    <w:rsid w:val="000B7F46"/>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64AFA"/>
    <w:rsid w:val="00172A27"/>
    <w:rsid w:val="00175856"/>
    <w:rsid w:val="00177041"/>
    <w:rsid w:val="0018231F"/>
    <w:rsid w:val="00183BCC"/>
    <w:rsid w:val="0018612E"/>
    <w:rsid w:val="001877F9"/>
    <w:rsid w:val="0019014E"/>
    <w:rsid w:val="00192B95"/>
    <w:rsid w:val="00193245"/>
    <w:rsid w:val="001A610C"/>
    <w:rsid w:val="001A7D16"/>
    <w:rsid w:val="001A7F2B"/>
    <w:rsid w:val="001B7B35"/>
    <w:rsid w:val="001D6EDD"/>
    <w:rsid w:val="001E2117"/>
    <w:rsid w:val="001E728C"/>
    <w:rsid w:val="001F12FF"/>
    <w:rsid w:val="001F18D9"/>
    <w:rsid w:val="001F720C"/>
    <w:rsid w:val="00204045"/>
    <w:rsid w:val="002047A0"/>
    <w:rsid w:val="002117AD"/>
    <w:rsid w:val="002162BC"/>
    <w:rsid w:val="002258C7"/>
    <w:rsid w:val="0023131A"/>
    <w:rsid w:val="00234B1F"/>
    <w:rsid w:val="002355E3"/>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C0425"/>
    <w:rsid w:val="002C2646"/>
    <w:rsid w:val="002C353D"/>
    <w:rsid w:val="002C3A1C"/>
    <w:rsid w:val="002C5EA8"/>
    <w:rsid w:val="002D5BEE"/>
    <w:rsid w:val="002D6A90"/>
    <w:rsid w:val="002D747A"/>
    <w:rsid w:val="002F195A"/>
    <w:rsid w:val="002F3337"/>
    <w:rsid w:val="002F71CD"/>
    <w:rsid w:val="00301769"/>
    <w:rsid w:val="003020E6"/>
    <w:rsid w:val="00305F34"/>
    <w:rsid w:val="0031770F"/>
    <w:rsid w:val="00323BEA"/>
    <w:rsid w:val="0032433B"/>
    <w:rsid w:val="0032434A"/>
    <w:rsid w:val="00331B62"/>
    <w:rsid w:val="0033621C"/>
    <w:rsid w:val="0034091D"/>
    <w:rsid w:val="0034102D"/>
    <w:rsid w:val="00353046"/>
    <w:rsid w:val="0035333B"/>
    <w:rsid w:val="00357EC1"/>
    <w:rsid w:val="00357F9C"/>
    <w:rsid w:val="00360556"/>
    <w:rsid w:val="0036056B"/>
    <w:rsid w:val="00362E77"/>
    <w:rsid w:val="00367062"/>
    <w:rsid w:val="00371957"/>
    <w:rsid w:val="00371E84"/>
    <w:rsid w:val="00374C4E"/>
    <w:rsid w:val="00376C78"/>
    <w:rsid w:val="00393F48"/>
    <w:rsid w:val="003974A7"/>
    <w:rsid w:val="003A0DD2"/>
    <w:rsid w:val="003A381D"/>
    <w:rsid w:val="003A630B"/>
    <w:rsid w:val="003B480F"/>
    <w:rsid w:val="003B5C6E"/>
    <w:rsid w:val="003C0A3E"/>
    <w:rsid w:val="003C3778"/>
    <w:rsid w:val="003C4812"/>
    <w:rsid w:val="003C7401"/>
    <w:rsid w:val="003F4C92"/>
    <w:rsid w:val="003F544F"/>
    <w:rsid w:val="0040117D"/>
    <w:rsid w:val="004075BE"/>
    <w:rsid w:val="00413D5E"/>
    <w:rsid w:val="00415078"/>
    <w:rsid w:val="0042054B"/>
    <w:rsid w:val="00430B9B"/>
    <w:rsid w:val="00435BAC"/>
    <w:rsid w:val="0044019E"/>
    <w:rsid w:val="004402E9"/>
    <w:rsid w:val="00456A72"/>
    <w:rsid w:val="00461520"/>
    <w:rsid w:val="00461C7A"/>
    <w:rsid w:val="00464198"/>
    <w:rsid w:val="00466D17"/>
    <w:rsid w:val="00467882"/>
    <w:rsid w:val="00470ED3"/>
    <w:rsid w:val="00472CCE"/>
    <w:rsid w:val="0047472B"/>
    <w:rsid w:val="00480262"/>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7425"/>
    <w:rsid w:val="004D7CA4"/>
    <w:rsid w:val="004F1635"/>
    <w:rsid w:val="004F1C97"/>
    <w:rsid w:val="004F2383"/>
    <w:rsid w:val="004F2B13"/>
    <w:rsid w:val="004F7B79"/>
    <w:rsid w:val="00501909"/>
    <w:rsid w:val="00503782"/>
    <w:rsid w:val="0050676E"/>
    <w:rsid w:val="00514DA9"/>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869C7"/>
    <w:rsid w:val="00596E70"/>
    <w:rsid w:val="005973FA"/>
    <w:rsid w:val="005A1E71"/>
    <w:rsid w:val="005A55D2"/>
    <w:rsid w:val="005C10FB"/>
    <w:rsid w:val="005C16E0"/>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51ECA"/>
    <w:rsid w:val="006520D2"/>
    <w:rsid w:val="00661E10"/>
    <w:rsid w:val="0066439A"/>
    <w:rsid w:val="006675AD"/>
    <w:rsid w:val="00667F58"/>
    <w:rsid w:val="0068493A"/>
    <w:rsid w:val="00684A77"/>
    <w:rsid w:val="00686FC8"/>
    <w:rsid w:val="00696D72"/>
    <w:rsid w:val="006B5758"/>
    <w:rsid w:val="006B7049"/>
    <w:rsid w:val="006B7CF4"/>
    <w:rsid w:val="006C0B20"/>
    <w:rsid w:val="006C594D"/>
    <w:rsid w:val="006D5F2D"/>
    <w:rsid w:val="006E5A04"/>
    <w:rsid w:val="006F584E"/>
    <w:rsid w:val="0071290A"/>
    <w:rsid w:val="007200CF"/>
    <w:rsid w:val="0073261C"/>
    <w:rsid w:val="00734C13"/>
    <w:rsid w:val="007362D1"/>
    <w:rsid w:val="007430A8"/>
    <w:rsid w:val="00751749"/>
    <w:rsid w:val="007538F6"/>
    <w:rsid w:val="00755143"/>
    <w:rsid w:val="0075595E"/>
    <w:rsid w:val="007613EF"/>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F1951"/>
    <w:rsid w:val="007F2B72"/>
    <w:rsid w:val="007F45CA"/>
    <w:rsid w:val="007F6EC2"/>
    <w:rsid w:val="007F7762"/>
    <w:rsid w:val="008059BC"/>
    <w:rsid w:val="008066AB"/>
    <w:rsid w:val="00810D44"/>
    <w:rsid w:val="008125BE"/>
    <w:rsid w:val="00812EEC"/>
    <w:rsid w:val="00813225"/>
    <w:rsid w:val="00815B3E"/>
    <w:rsid w:val="00816ADA"/>
    <w:rsid w:val="00822DD0"/>
    <w:rsid w:val="00833F0D"/>
    <w:rsid w:val="008347F9"/>
    <w:rsid w:val="00836882"/>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5743B"/>
    <w:rsid w:val="00960A43"/>
    <w:rsid w:val="0096310B"/>
    <w:rsid w:val="009633BC"/>
    <w:rsid w:val="009740E1"/>
    <w:rsid w:val="0097512E"/>
    <w:rsid w:val="0097605E"/>
    <w:rsid w:val="009770C3"/>
    <w:rsid w:val="00977511"/>
    <w:rsid w:val="00980552"/>
    <w:rsid w:val="0099340D"/>
    <w:rsid w:val="009949C4"/>
    <w:rsid w:val="009A1701"/>
    <w:rsid w:val="009A34B7"/>
    <w:rsid w:val="009B04B1"/>
    <w:rsid w:val="009B2387"/>
    <w:rsid w:val="009C1267"/>
    <w:rsid w:val="009C6675"/>
    <w:rsid w:val="009C6BF3"/>
    <w:rsid w:val="009C7092"/>
    <w:rsid w:val="009D33A0"/>
    <w:rsid w:val="009D7CF5"/>
    <w:rsid w:val="009D7DE3"/>
    <w:rsid w:val="009E2CA4"/>
    <w:rsid w:val="009E6637"/>
    <w:rsid w:val="009F2F46"/>
    <w:rsid w:val="009F44C1"/>
    <w:rsid w:val="009F4E97"/>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60FF4"/>
    <w:rsid w:val="00A62098"/>
    <w:rsid w:val="00A648E7"/>
    <w:rsid w:val="00A6706A"/>
    <w:rsid w:val="00A67218"/>
    <w:rsid w:val="00A71E4E"/>
    <w:rsid w:val="00A735C0"/>
    <w:rsid w:val="00A81922"/>
    <w:rsid w:val="00A90C90"/>
    <w:rsid w:val="00A91AB9"/>
    <w:rsid w:val="00A91F30"/>
    <w:rsid w:val="00A92645"/>
    <w:rsid w:val="00A96F1B"/>
    <w:rsid w:val="00A97361"/>
    <w:rsid w:val="00AA3A62"/>
    <w:rsid w:val="00AA5FCC"/>
    <w:rsid w:val="00AB3F6F"/>
    <w:rsid w:val="00AB5088"/>
    <w:rsid w:val="00AB58EE"/>
    <w:rsid w:val="00AB59C3"/>
    <w:rsid w:val="00AC655C"/>
    <w:rsid w:val="00AD4D7B"/>
    <w:rsid w:val="00AE50AD"/>
    <w:rsid w:val="00AE67B8"/>
    <w:rsid w:val="00AF284C"/>
    <w:rsid w:val="00B06A0C"/>
    <w:rsid w:val="00B10777"/>
    <w:rsid w:val="00B122C4"/>
    <w:rsid w:val="00B13F64"/>
    <w:rsid w:val="00B26BB1"/>
    <w:rsid w:val="00B33F81"/>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6902"/>
    <w:rsid w:val="00BB1789"/>
    <w:rsid w:val="00BB31DE"/>
    <w:rsid w:val="00BC010C"/>
    <w:rsid w:val="00BC4A09"/>
    <w:rsid w:val="00BC6AAF"/>
    <w:rsid w:val="00BC7C9D"/>
    <w:rsid w:val="00BD0B6B"/>
    <w:rsid w:val="00BD24BF"/>
    <w:rsid w:val="00BE0FDA"/>
    <w:rsid w:val="00BF2DF8"/>
    <w:rsid w:val="00BF32F7"/>
    <w:rsid w:val="00C111F2"/>
    <w:rsid w:val="00C1570B"/>
    <w:rsid w:val="00C17406"/>
    <w:rsid w:val="00C26AF4"/>
    <w:rsid w:val="00C31E82"/>
    <w:rsid w:val="00C320A6"/>
    <w:rsid w:val="00C33231"/>
    <w:rsid w:val="00C40CFB"/>
    <w:rsid w:val="00C431A4"/>
    <w:rsid w:val="00C55EEA"/>
    <w:rsid w:val="00C56B8F"/>
    <w:rsid w:val="00C65DE7"/>
    <w:rsid w:val="00C754D8"/>
    <w:rsid w:val="00C8030B"/>
    <w:rsid w:val="00C82FB9"/>
    <w:rsid w:val="00C830C6"/>
    <w:rsid w:val="00C85B5B"/>
    <w:rsid w:val="00CA03B6"/>
    <w:rsid w:val="00CA2643"/>
    <w:rsid w:val="00CB2567"/>
    <w:rsid w:val="00CC1FCF"/>
    <w:rsid w:val="00CC3E30"/>
    <w:rsid w:val="00CC4294"/>
    <w:rsid w:val="00CD2131"/>
    <w:rsid w:val="00CD27E1"/>
    <w:rsid w:val="00CD79A6"/>
    <w:rsid w:val="00CE1560"/>
    <w:rsid w:val="00CE5FC2"/>
    <w:rsid w:val="00CF63A7"/>
    <w:rsid w:val="00D002F0"/>
    <w:rsid w:val="00D00877"/>
    <w:rsid w:val="00D03B67"/>
    <w:rsid w:val="00D11E40"/>
    <w:rsid w:val="00D13BF8"/>
    <w:rsid w:val="00D142E5"/>
    <w:rsid w:val="00D15218"/>
    <w:rsid w:val="00D17B37"/>
    <w:rsid w:val="00D204C5"/>
    <w:rsid w:val="00D214FA"/>
    <w:rsid w:val="00D21FB6"/>
    <w:rsid w:val="00D252A1"/>
    <w:rsid w:val="00D45865"/>
    <w:rsid w:val="00D47609"/>
    <w:rsid w:val="00D51B72"/>
    <w:rsid w:val="00D5365A"/>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557B"/>
    <w:rsid w:val="00DE2077"/>
    <w:rsid w:val="00DF0B0A"/>
    <w:rsid w:val="00DF2377"/>
    <w:rsid w:val="00DF795E"/>
    <w:rsid w:val="00E07F75"/>
    <w:rsid w:val="00E177B3"/>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12C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4997"/>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A7BCE"/>
    <w:rsid w:val="00FC0050"/>
    <w:rsid w:val="00FE0B25"/>
    <w:rsid w:val="00FE0BF4"/>
    <w:rsid w:val="00FE3DD6"/>
    <w:rsid w:val="00FE657D"/>
    <w:rsid w:val="00FE797C"/>
    <w:rsid w:val="00FF3398"/>
    <w:rsid w:val="00FF460C"/>
    <w:rsid w:val="011A07FD"/>
    <w:rsid w:val="01474EA6"/>
    <w:rsid w:val="015107E6"/>
    <w:rsid w:val="01DC2AE7"/>
    <w:rsid w:val="020277D8"/>
    <w:rsid w:val="0237530C"/>
    <w:rsid w:val="02485D4E"/>
    <w:rsid w:val="02840131"/>
    <w:rsid w:val="028E264D"/>
    <w:rsid w:val="02C14713"/>
    <w:rsid w:val="02CA1312"/>
    <w:rsid w:val="02EF77E1"/>
    <w:rsid w:val="03077C93"/>
    <w:rsid w:val="03243133"/>
    <w:rsid w:val="036C6DAA"/>
    <w:rsid w:val="03E531F1"/>
    <w:rsid w:val="03EA1414"/>
    <w:rsid w:val="04024053"/>
    <w:rsid w:val="047D2718"/>
    <w:rsid w:val="04815B5D"/>
    <w:rsid w:val="048C0506"/>
    <w:rsid w:val="04A85A30"/>
    <w:rsid w:val="04EF11D6"/>
    <w:rsid w:val="05066B4B"/>
    <w:rsid w:val="053B19FF"/>
    <w:rsid w:val="05711A7E"/>
    <w:rsid w:val="058C00A9"/>
    <w:rsid w:val="05B437EC"/>
    <w:rsid w:val="05F2584F"/>
    <w:rsid w:val="06187C8D"/>
    <w:rsid w:val="064A5EDE"/>
    <w:rsid w:val="06721621"/>
    <w:rsid w:val="068B4749"/>
    <w:rsid w:val="069A535A"/>
    <w:rsid w:val="06B312A3"/>
    <w:rsid w:val="06BA258E"/>
    <w:rsid w:val="072B6851"/>
    <w:rsid w:val="0731731F"/>
    <w:rsid w:val="07712EC0"/>
    <w:rsid w:val="07726BC0"/>
    <w:rsid w:val="077730CD"/>
    <w:rsid w:val="07A239ED"/>
    <w:rsid w:val="07B55485"/>
    <w:rsid w:val="07BA06BE"/>
    <w:rsid w:val="07C74150"/>
    <w:rsid w:val="084837A5"/>
    <w:rsid w:val="08487F22"/>
    <w:rsid w:val="085262B3"/>
    <w:rsid w:val="086246CF"/>
    <w:rsid w:val="086D2969"/>
    <w:rsid w:val="08B140CE"/>
    <w:rsid w:val="09561B46"/>
    <w:rsid w:val="09B330D1"/>
    <w:rsid w:val="09D94E35"/>
    <w:rsid w:val="09DD76C5"/>
    <w:rsid w:val="09FB2DEB"/>
    <w:rsid w:val="09FC7D34"/>
    <w:rsid w:val="0A1F762B"/>
    <w:rsid w:val="0A3B3BD5"/>
    <w:rsid w:val="0A436A63"/>
    <w:rsid w:val="0A5C798D"/>
    <w:rsid w:val="0A697B87"/>
    <w:rsid w:val="0A8E1461"/>
    <w:rsid w:val="0A9C2975"/>
    <w:rsid w:val="0AB74823"/>
    <w:rsid w:val="0AC57691"/>
    <w:rsid w:val="0B322C9A"/>
    <w:rsid w:val="0B921C08"/>
    <w:rsid w:val="0BE36CA3"/>
    <w:rsid w:val="0BF82C31"/>
    <w:rsid w:val="0C6E04EF"/>
    <w:rsid w:val="0CA35E4C"/>
    <w:rsid w:val="0CA402A2"/>
    <w:rsid w:val="0CAB26D5"/>
    <w:rsid w:val="0CB17E61"/>
    <w:rsid w:val="0CC42696"/>
    <w:rsid w:val="0D552B6D"/>
    <w:rsid w:val="0D6A7733"/>
    <w:rsid w:val="0D7359A1"/>
    <w:rsid w:val="0D8C100B"/>
    <w:rsid w:val="0D9C536D"/>
    <w:rsid w:val="0DC76AD5"/>
    <w:rsid w:val="0E183F30"/>
    <w:rsid w:val="0E1A7433"/>
    <w:rsid w:val="0E240FCD"/>
    <w:rsid w:val="0E5473CC"/>
    <w:rsid w:val="0E8C5D7C"/>
    <w:rsid w:val="0E8F15F0"/>
    <w:rsid w:val="0EA31E5A"/>
    <w:rsid w:val="0EB44007"/>
    <w:rsid w:val="0EB47D53"/>
    <w:rsid w:val="0ED158DD"/>
    <w:rsid w:val="0FF210AF"/>
    <w:rsid w:val="103764A9"/>
    <w:rsid w:val="103E024D"/>
    <w:rsid w:val="105B1B61"/>
    <w:rsid w:val="10807BA2"/>
    <w:rsid w:val="10997447"/>
    <w:rsid w:val="10A854E3"/>
    <w:rsid w:val="11044578"/>
    <w:rsid w:val="114A726B"/>
    <w:rsid w:val="116B08B9"/>
    <w:rsid w:val="116F3C27"/>
    <w:rsid w:val="1186384C"/>
    <w:rsid w:val="11D3174D"/>
    <w:rsid w:val="11FE67A2"/>
    <w:rsid w:val="12111CE2"/>
    <w:rsid w:val="12374872"/>
    <w:rsid w:val="125633BB"/>
    <w:rsid w:val="12683545"/>
    <w:rsid w:val="128F1B00"/>
    <w:rsid w:val="12A32D1F"/>
    <w:rsid w:val="12C82F5F"/>
    <w:rsid w:val="12D304A4"/>
    <w:rsid w:val="12D617A5"/>
    <w:rsid w:val="12E654FE"/>
    <w:rsid w:val="13180760"/>
    <w:rsid w:val="13664799"/>
    <w:rsid w:val="13853312"/>
    <w:rsid w:val="13860D94"/>
    <w:rsid w:val="13887CCD"/>
    <w:rsid w:val="13AD22D8"/>
    <w:rsid w:val="13B35317"/>
    <w:rsid w:val="13E56022"/>
    <w:rsid w:val="13FA6B54"/>
    <w:rsid w:val="13FC2057"/>
    <w:rsid w:val="141A6593"/>
    <w:rsid w:val="142D60AA"/>
    <w:rsid w:val="14480E52"/>
    <w:rsid w:val="1462527F"/>
    <w:rsid w:val="14793E2E"/>
    <w:rsid w:val="14843B98"/>
    <w:rsid w:val="14A127E5"/>
    <w:rsid w:val="14A8724E"/>
    <w:rsid w:val="14DD6A4A"/>
    <w:rsid w:val="15584512"/>
    <w:rsid w:val="15596EC0"/>
    <w:rsid w:val="158C4D2B"/>
    <w:rsid w:val="1604074F"/>
    <w:rsid w:val="16391602"/>
    <w:rsid w:val="164467AA"/>
    <w:rsid w:val="168A398A"/>
    <w:rsid w:val="16B36D4D"/>
    <w:rsid w:val="16E21E1B"/>
    <w:rsid w:val="16F577B6"/>
    <w:rsid w:val="1703454E"/>
    <w:rsid w:val="17206192"/>
    <w:rsid w:val="17AF08A9"/>
    <w:rsid w:val="17D313A3"/>
    <w:rsid w:val="17DB7587"/>
    <w:rsid w:val="17E70043"/>
    <w:rsid w:val="17E91348"/>
    <w:rsid w:val="17F6065E"/>
    <w:rsid w:val="181E68F0"/>
    <w:rsid w:val="18292F6E"/>
    <w:rsid w:val="182D2D36"/>
    <w:rsid w:val="18AA70F0"/>
    <w:rsid w:val="18B60219"/>
    <w:rsid w:val="18D944D4"/>
    <w:rsid w:val="18DD7D48"/>
    <w:rsid w:val="18DF3E5F"/>
    <w:rsid w:val="191142D4"/>
    <w:rsid w:val="193225E4"/>
    <w:rsid w:val="197874D5"/>
    <w:rsid w:val="19A50560"/>
    <w:rsid w:val="19CC2C94"/>
    <w:rsid w:val="19D4203E"/>
    <w:rsid w:val="19DC4FFB"/>
    <w:rsid w:val="19E908B9"/>
    <w:rsid w:val="19F60068"/>
    <w:rsid w:val="1A29778A"/>
    <w:rsid w:val="1A300983"/>
    <w:rsid w:val="1A491DAC"/>
    <w:rsid w:val="1A8F0322"/>
    <w:rsid w:val="1AAF48E3"/>
    <w:rsid w:val="1B171500"/>
    <w:rsid w:val="1B3724A7"/>
    <w:rsid w:val="1B3F1135"/>
    <w:rsid w:val="1B852ED0"/>
    <w:rsid w:val="1BC85AA0"/>
    <w:rsid w:val="1C2E0BDD"/>
    <w:rsid w:val="1C392F29"/>
    <w:rsid w:val="1C4B58B8"/>
    <w:rsid w:val="1C6F2DB6"/>
    <w:rsid w:val="1C7F1A3E"/>
    <w:rsid w:val="1C951971"/>
    <w:rsid w:val="1C9945C4"/>
    <w:rsid w:val="1CB15A1E"/>
    <w:rsid w:val="1D1C364E"/>
    <w:rsid w:val="1D5079E6"/>
    <w:rsid w:val="1D86477C"/>
    <w:rsid w:val="1D9E2AC6"/>
    <w:rsid w:val="1DBA3E18"/>
    <w:rsid w:val="1E0E375C"/>
    <w:rsid w:val="1E2C078D"/>
    <w:rsid w:val="1E414EAF"/>
    <w:rsid w:val="1E5D6D5E"/>
    <w:rsid w:val="1EBE5AFE"/>
    <w:rsid w:val="1EF67E9C"/>
    <w:rsid w:val="1F056C23"/>
    <w:rsid w:val="1F163F8E"/>
    <w:rsid w:val="1F4958D9"/>
    <w:rsid w:val="1FB95378"/>
    <w:rsid w:val="1FFD5EF7"/>
    <w:rsid w:val="20031085"/>
    <w:rsid w:val="200D1527"/>
    <w:rsid w:val="20174E36"/>
    <w:rsid w:val="204C6209"/>
    <w:rsid w:val="20677367"/>
    <w:rsid w:val="206F170E"/>
    <w:rsid w:val="20F879A7"/>
    <w:rsid w:val="21060EBB"/>
    <w:rsid w:val="21510752"/>
    <w:rsid w:val="21540FBA"/>
    <w:rsid w:val="21637056"/>
    <w:rsid w:val="21783778"/>
    <w:rsid w:val="21BF7730"/>
    <w:rsid w:val="21D44D8B"/>
    <w:rsid w:val="221A5500"/>
    <w:rsid w:val="222C0C9D"/>
    <w:rsid w:val="223C5D9A"/>
    <w:rsid w:val="22427F80"/>
    <w:rsid w:val="22480186"/>
    <w:rsid w:val="22850432"/>
    <w:rsid w:val="228A48BA"/>
    <w:rsid w:val="22AE1C87"/>
    <w:rsid w:val="22E31B89"/>
    <w:rsid w:val="22EF6919"/>
    <w:rsid w:val="22FE1629"/>
    <w:rsid w:val="232F3534"/>
    <w:rsid w:val="234341C3"/>
    <w:rsid w:val="23B36272"/>
    <w:rsid w:val="23DB2F62"/>
    <w:rsid w:val="23E24473"/>
    <w:rsid w:val="23ED4783"/>
    <w:rsid w:val="24335B6F"/>
    <w:rsid w:val="25147B41"/>
    <w:rsid w:val="251A1C01"/>
    <w:rsid w:val="25544D4D"/>
    <w:rsid w:val="257B16D7"/>
    <w:rsid w:val="258731F5"/>
    <w:rsid w:val="25E04F4F"/>
    <w:rsid w:val="260D50A7"/>
    <w:rsid w:val="264158CF"/>
    <w:rsid w:val="265213ED"/>
    <w:rsid w:val="267E1DB2"/>
    <w:rsid w:val="26CB5833"/>
    <w:rsid w:val="26CD3DC5"/>
    <w:rsid w:val="26D37F62"/>
    <w:rsid w:val="26EA2611"/>
    <w:rsid w:val="2777406A"/>
    <w:rsid w:val="27A452F1"/>
    <w:rsid w:val="27C512CF"/>
    <w:rsid w:val="27E53D82"/>
    <w:rsid w:val="27FD0B92"/>
    <w:rsid w:val="28405395"/>
    <w:rsid w:val="285862BF"/>
    <w:rsid w:val="28674482"/>
    <w:rsid w:val="2881190E"/>
    <w:rsid w:val="28BC293D"/>
    <w:rsid w:val="28F76BC7"/>
    <w:rsid w:val="29095BA3"/>
    <w:rsid w:val="295E688C"/>
    <w:rsid w:val="29AB358A"/>
    <w:rsid w:val="29BF1089"/>
    <w:rsid w:val="29C0458C"/>
    <w:rsid w:val="29CE34BB"/>
    <w:rsid w:val="29DB2BB8"/>
    <w:rsid w:val="2A017DDD"/>
    <w:rsid w:val="2A120B13"/>
    <w:rsid w:val="2A3D3B63"/>
    <w:rsid w:val="2A842B20"/>
    <w:rsid w:val="2AA76E09"/>
    <w:rsid w:val="2B700A50"/>
    <w:rsid w:val="2B7661DC"/>
    <w:rsid w:val="2C110389"/>
    <w:rsid w:val="2C372A17"/>
    <w:rsid w:val="2C6820A6"/>
    <w:rsid w:val="2C8C7F23"/>
    <w:rsid w:val="2CD07712"/>
    <w:rsid w:val="2D324A76"/>
    <w:rsid w:val="2D406ACD"/>
    <w:rsid w:val="2DA54273"/>
    <w:rsid w:val="2DBA5111"/>
    <w:rsid w:val="2E286892"/>
    <w:rsid w:val="2E2D628C"/>
    <w:rsid w:val="2E475FFA"/>
    <w:rsid w:val="2E627EA9"/>
    <w:rsid w:val="2E922BF6"/>
    <w:rsid w:val="2EE968D3"/>
    <w:rsid w:val="2EF54743"/>
    <w:rsid w:val="2F5B483E"/>
    <w:rsid w:val="2FCF25FE"/>
    <w:rsid w:val="305B7C64"/>
    <w:rsid w:val="309E19D2"/>
    <w:rsid w:val="30BE2751"/>
    <w:rsid w:val="30C5586F"/>
    <w:rsid w:val="30E65649"/>
    <w:rsid w:val="310A6D4E"/>
    <w:rsid w:val="316C6324"/>
    <w:rsid w:val="317E1CC7"/>
    <w:rsid w:val="319F74FD"/>
    <w:rsid w:val="31BB30A3"/>
    <w:rsid w:val="31C96B5A"/>
    <w:rsid w:val="320831A2"/>
    <w:rsid w:val="323C6F23"/>
    <w:rsid w:val="32662F17"/>
    <w:rsid w:val="326D5E9B"/>
    <w:rsid w:val="329B0193"/>
    <w:rsid w:val="32AD3ECF"/>
    <w:rsid w:val="32EA7018"/>
    <w:rsid w:val="33A928CE"/>
    <w:rsid w:val="33C2127A"/>
    <w:rsid w:val="33E24302"/>
    <w:rsid w:val="33E46427"/>
    <w:rsid w:val="33FF10DF"/>
    <w:rsid w:val="34032CCB"/>
    <w:rsid w:val="34472531"/>
    <w:rsid w:val="348A3241"/>
    <w:rsid w:val="349539FF"/>
    <w:rsid w:val="34A075E3"/>
    <w:rsid w:val="34A672EE"/>
    <w:rsid w:val="34D06C8E"/>
    <w:rsid w:val="34EB51C8"/>
    <w:rsid w:val="34ED54E4"/>
    <w:rsid w:val="355A1216"/>
    <w:rsid w:val="357F17EA"/>
    <w:rsid w:val="35C34243"/>
    <w:rsid w:val="35F13A8D"/>
    <w:rsid w:val="369C499D"/>
    <w:rsid w:val="36A2002D"/>
    <w:rsid w:val="36CB3D61"/>
    <w:rsid w:val="36D24400"/>
    <w:rsid w:val="372B6EED"/>
    <w:rsid w:val="374C258D"/>
    <w:rsid w:val="374E17CB"/>
    <w:rsid w:val="376A7A76"/>
    <w:rsid w:val="37C13D08"/>
    <w:rsid w:val="384D38EC"/>
    <w:rsid w:val="38C94EBE"/>
    <w:rsid w:val="38D45B95"/>
    <w:rsid w:val="39057817"/>
    <w:rsid w:val="392E091B"/>
    <w:rsid w:val="395A0489"/>
    <w:rsid w:val="39674039"/>
    <w:rsid w:val="39682ADB"/>
    <w:rsid w:val="39900A80"/>
    <w:rsid w:val="3997311F"/>
    <w:rsid w:val="39A43E9E"/>
    <w:rsid w:val="39B131B3"/>
    <w:rsid w:val="39B905C0"/>
    <w:rsid w:val="39D236E8"/>
    <w:rsid w:val="39D3116A"/>
    <w:rsid w:val="39F529A3"/>
    <w:rsid w:val="39FB232E"/>
    <w:rsid w:val="3A2B507B"/>
    <w:rsid w:val="3A2D057F"/>
    <w:rsid w:val="3ADD4E9F"/>
    <w:rsid w:val="3B082ABA"/>
    <w:rsid w:val="3B0E69A9"/>
    <w:rsid w:val="3B581196"/>
    <w:rsid w:val="3B9F0B0B"/>
    <w:rsid w:val="3C8A5FD8"/>
    <w:rsid w:val="3CC06339"/>
    <w:rsid w:val="3CF442DF"/>
    <w:rsid w:val="3CFB7418"/>
    <w:rsid w:val="3D3921C5"/>
    <w:rsid w:val="3D53112B"/>
    <w:rsid w:val="3D754D6F"/>
    <w:rsid w:val="3D930C99"/>
    <w:rsid w:val="3DAA1B3A"/>
    <w:rsid w:val="3DC65BE7"/>
    <w:rsid w:val="3E135010"/>
    <w:rsid w:val="3E1958A3"/>
    <w:rsid w:val="3E2D0A8E"/>
    <w:rsid w:val="3E5654D6"/>
    <w:rsid w:val="3E8F120F"/>
    <w:rsid w:val="3EF25354"/>
    <w:rsid w:val="3F494FE9"/>
    <w:rsid w:val="3F73164C"/>
    <w:rsid w:val="3F997338"/>
    <w:rsid w:val="3FA163F2"/>
    <w:rsid w:val="3FA61603"/>
    <w:rsid w:val="3FC55E64"/>
    <w:rsid w:val="402356C6"/>
    <w:rsid w:val="40267F87"/>
    <w:rsid w:val="403147CD"/>
    <w:rsid w:val="40516596"/>
    <w:rsid w:val="405E4CFE"/>
    <w:rsid w:val="40F577E4"/>
    <w:rsid w:val="410C3445"/>
    <w:rsid w:val="412B278D"/>
    <w:rsid w:val="412F645D"/>
    <w:rsid w:val="414D3EAF"/>
    <w:rsid w:val="417A734F"/>
    <w:rsid w:val="41C837F8"/>
    <w:rsid w:val="41D06B49"/>
    <w:rsid w:val="41FD4053"/>
    <w:rsid w:val="425D61F8"/>
    <w:rsid w:val="428B1338"/>
    <w:rsid w:val="42E94F55"/>
    <w:rsid w:val="42F176D0"/>
    <w:rsid w:val="433462CE"/>
    <w:rsid w:val="4359650D"/>
    <w:rsid w:val="43742C10"/>
    <w:rsid w:val="43CD51C7"/>
    <w:rsid w:val="43E17BFA"/>
    <w:rsid w:val="4430746A"/>
    <w:rsid w:val="4450106D"/>
    <w:rsid w:val="445A3B32"/>
    <w:rsid w:val="446E05D4"/>
    <w:rsid w:val="4472238A"/>
    <w:rsid w:val="44BC13C1"/>
    <w:rsid w:val="44E232A9"/>
    <w:rsid w:val="455E2608"/>
    <w:rsid w:val="45A5284F"/>
    <w:rsid w:val="45D2476C"/>
    <w:rsid w:val="45D33BCF"/>
    <w:rsid w:val="45FD6761"/>
    <w:rsid w:val="460C24D6"/>
    <w:rsid w:val="464D55E6"/>
    <w:rsid w:val="46534F71"/>
    <w:rsid w:val="467609A9"/>
    <w:rsid w:val="46B77214"/>
    <w:rsid w:val="46D467C4"/>
    <w:rsid w:val="46EB2B66"/>
    <w:rsid w:val="46EE736E"/>
    <w:rsid w:val="46FD0882"/>
    <w:rsid w:val="474422FB"/>
    <w:rsid w:val="47473D41"/>
    <w:rsid w:val="4757351A"/>
    <w:rsid w:val="47974304"/>
    <w:rsid w:val="47A612CF"/>
    <w:rsid w:val="47E40B80"/>
    <w:rsid w:val="47EC4E4B"/>
    <w:rsid w:val="480A2FBE"/>
    <w:rsid w:val="48185B57"/>
    <w:rsid w:val="487C587B"/>
    <w:rsid w:val="489B28AD"/>
    <w:rsid w:val="49165266"/>
    <w:rsid w:val="49244D8F"/>
    <w:rsid w:val="49547ADD"/>
    <w:rsid w:val="495758F6"/>
    <w:rsid w:val="49792302"/>
    <w:rsid w:val="49AB4C68"/>
    <w:rsid w:val="49AB5C26"/>
    <w:rsid w:val="49D01002"/>
    <w:rsid w:val="49D074BD"/>
    <w:rsid w:val="49D07B24"/>
    <w:rsid w:val="49F308E0"/>
    <w:rsid w:val="4A0A01DD"/>
    <w:rsid w:val="4A17781B"/>
    <w:rsid w:val="4A2645B2"/>
    <w:rsid w:val="4A7F30E4"/>
    <w:rsid w:val="4AA25200"/>
    <w:rsid w:val="4AD743D6"/>
    <w:rsid w:val="4B2D0403"/>
    <w:rsid w:val="4B4807C6"/>
    <w:rsid w:val="4B5F55B3"/>
    <w:rsid w:val="4CAF785F"/>
    <w:rsid w:val="4D2C1252"/>
    <w:rsid w:val="4D305A5F"/>
    <w:rsid w:val="4D4D4DDF"/>
    <w:rsid w:val="4D5634F0"/>
    <w:rsid w:val="4D5D1F40"/>
    <w:rsid w:val="4D772FF5"/>
    <w:rsid w:val="4DB95793"/>
    <w:rsid w:val="4DD3633D"/>
    <w:rsid w:val="4DD509E9"/>
    <w:rsid w:val="4DDF0F63"/>
    <w:rsid w:val="4DF3474B"/>
    <w:rsid w:val="4E0E506F"/>
    <w:rsid w:val="4E4B256C"/>
    <w:rsid w:val="4E501D2A"/>
    <w:rsid w:val="4E80511F"/>
    <w:rsid w:val="4E884B66"/>
    <w:rsid w:val="4E8F0CF5"/>
    <w:rsid w:val="4EA33192"/>
    <w:rsid w:val="4EB621B3"/>
    <w:rsid w:val="4EF26794"/>
    <w:rsid w:val="4EFB2AF1"/>
    <w:rsid w:val="4F1637C8"/>
    <w:rsid w:val="4F3C52D6"/>
    <w:rsid w:val="4F454F19"/>
    <w:rsid w:val="4F5F5C29"/>
    <w:rsid w:val="4F923C1E"/>
    <w:rsid w:val="4F963734"/>
    <w:rsid w:val="4FAC4C54"/>
    <w:rsid w:val="4FBB03DB"/>
    <w:rsid w:val="4FC129A1"/>
    <w:rsid w:val="50120DEA"/>
    <w:rsid w:val="50146E75"/>
    <w:rsid w:val="502A3FA0"/>
    <w:rsid w:val="503F6BEE"/>
    <w:rsid w:val="50BB5D80"/>
    <w:rsid w:val="50F603F6"/>
    <w:rsid w:val="51186119"/>
    <w:rsid w:val="51291058"/>
    <w:rsid w:val="51322546"/>
    <w:rsid w:val="51465964"/>
    <w:rsid w:val="514C786D"/>
    <w:rsid w:val="51694C1F"/>
    <w:rsid w:val="51827D47"/>
    <w:rsid w:val="51AA7C07"/>
    <w:rsid w:val="51E00BA5"/>
    <w:rsid w:val="521140E4"/>
    <w:rsid w:val="52163CAA"/>
    <w:rsid w:val="521C7F46"/>
    <w:rsid w:val="522121C3"/>
    <w:rsid w:val="52553923"/>
    <w:rsid w:val="52686D40"/>
    <w:rsid w:val="52995311"/>
    <w:rsid w:val="5335235D"/>
    <w:rsid w:val="5338218F"/>
    <w:rsid w:val="537101A1"/>
    <w:rsid w:val="539C5E38"/>
    <w:rsid w:val="53CD4BD4"/>
    <w:rsid w:val="53D6159A"/>
    <w:rsid w:val="53E828D6"/>
    <w:rsid w:val="545B07F5"/>
    <w:rsid w:val="545E1B1E"/>
    <w:rsid w:val="54766E20"/>
    <w:rsid w:val="54DB67C4"/>
    <w:rsid w:val="54DD1CC8"/>
    <w:rsid w:val="551256A6"/>
    <w:rsid w:val="551A792E"/>
    <w:rsid w:val="5536145D"/>
    <w:rsid w:val="5557452B"/>
    <w:rsid w:val="55670D8B"/>
    <w:rsid w:val="556D4434"/>
    <w:rsid w:val="559C59C0"/>
    <w:rsid w:val="55AB141B"/>
    <w:rsid w:val="55AB5B98"/>
    <w:rsid w:val="55C022BA"/>
    <w:rsid w:val="55C909CB"/>
    <w:rsid w:val="563F7711"/>
    <w:rsid w:val="565B37BE"/>
    <w:rsid w:val="567730D1"/>
    <w:rsid w:val="568574C8"/>
    <w:rsid w:val="569B1267"/>
    <w:rsid w:val="56AC22C3"/>
    <w:rsid w:val="56B131D8"/>
    <w:rsid w:val="56D90806"/>
    <w:rsid w:val="56FE3FDE"/>
    <w:rsid w:val="57013DA4"/>
    <w:rsid w:val="570B329E"/>
    <w:rsid w:val="573E115F"/>
    <w:rsid w:val="576747DC"/>
    <w:rsid w:val="57AD4F45"/>
    <w:rsid w:val="57DE5EB8"/>
    <w:rsid w:val="57E626FF"/>
    <w:rsid w:val="57FB5468"/>
    <w:rsid w:val="57FE63ED"/>
    <w:rsid w:val="581B7F1B"/>
    <w:rsid w:val="58D21C48"/>
    <w:rsid w:val="58DB6CD4"/>
    <w:rsid w:val="58DE7C59"/>
    <w:rsid w:val="58E9186D"/>
    <w:rsid w:val="59284BD5"/>
    <w:rsid w:val="593A02F9"/>
    <w:rsid w:val="594C2B20"/>
    <w:rsid w:val="594D0E06"/>
    <w:rsid w:val="59850E94"/>
    <w:rsid w:val="59B5223B"/>
    <w:rsid w:val="5A2A5EBB"/>
    <w:rsid w:val="5A3E219F"/>
    <w:rsid w:val="5A432DA3"/>
    <w:rsid w:val="5A81068A"/>
    <w:rsid w:val="5A8A2BB3"/>
    <w:rsid w:val="5B214990"/>
    <w:rsid w:val="5B374935"/>
    <w:rsid w:val="5B4E04D4"/>
    <w:rsid w:val="5B9B0DD6"/>
    <w:rsid w:val="5C096CA9"/>
    <w:rsid w:val="5C201AF4"/>
    <w:rsid w:val="5C2515A2"/>
    <w:rsid w:val="5C2D5C35"/>
    <w:rsid w:val="5C372A61"/>
    <w:rsid w:val="5C983E89"/>
    <w:rsid w:val="5CB163A0"/>
    <w:rsid w:val="5CD37BDA"/>
    <w:rsid w:val="5CF15194"/>
    <w:rsid w:val="5CFB5748"/>
    <w:rsid w:val="5D0C1038"/>
    <w:rsid w:val="5D496137"/>
    <w:rsid w:val="5D762C66"/>
    <w:rsid w:val="5D9D04F4"/>
    <w:rsid w:val="5DDA56EA"/>
    <w:rsid w:val="5DDB040C"/>
    <w:rsid w:val="5E1A7EF1"/>
    <w:rsid w:val="5E782489"/>
    <w:rsid w:val="5ED460FD"/>
    <w:rsid w:val="5EE475B9"/>
    <w:rsid w:val="5F517BED"/>
    <w:rsid w:val="5F9708FA"/>
    <w:rsid w:val="5FA7097C"/>
    <w:rsid w:val="600D76AB"/>
    <w:rsid w:val="6012002C"/>
    <w:rsid w:val="60837066"/>
    <w:rsid w:val="60865FE8"/>
    <w:rsid w:val="612C0778"/>
    <w:rsid w:val="61414E9A"/>
    <w:rsid w:val="614800A8"/>
    <w:rsid w:val="619F2CB5"/>
    <w:rsid w:val="61D91ACD"/>
    <w:rsid w:val="61E60EAB"/>
    <w:rsid w:val="62187856"/>
    <w:rsid w:val="62246792"/>
    <w:rsid w:val="622C3B9E"/>
    <w:rsid w:val="6231734D"/>
    <w:rsid w:val="623A49C4"/>
    <w:rsid w:val="626016AF"/>
    <w:rsid w:val="62852296"/>
    <w:rsid w:val="62BE0E99"/>
    <w:rsid w:val="62FA54F0"/>
    <w:rsid w:val="632A6D36"/>
    <w:rsid w:val="632C1C57"/>
    <w:rsid w:val="634642EB"/>
    <w:rsid w:val="639E361F"/>
    <w:rsid w:val="63B9462A"/>
    <w:rsid w:val="640E2396"/>
    <w:rsid w:val="641A7B46"/>
    <w:rsid w:val="64451C8F"/>
    <w:rsid w:val="646666C9"/>
    <w:rsid w:val="64A66A83"/>
    <w:rsid w:val="65171FE8"/>
    <w:rsid w:val="657171FE"/>
    <w:rsid w:val="65891022"/>
    <w:rsid w:val="65D319B8"/>
    <w:rsid w:val="65E43CBA"/>
    <w:rsid w:val="65F364D3"/>
    <w:rsid w:val="664839DE"/>
    <w:rsid w:val="66600FEC"/>
    <w:rsid w:val="66996C60"/>
    <w:rsid w:val="66C37AA5"/>
    <w:rsid w:val="66DA75B8"/>
    <w:rsid w:val="66EC37A0"/>
    <w:rsid w:val="66F332D5"/>
    <w:rsid w:val="6709601B"/>
    <w:rsid w:val="670B371C"/>
    <w:rsid w:val="674001A7"/>
    <w:rsid w:val="67514DA2"/>
    <w:rsid w:val="67617776"/>
    <w:rsid w:val="677478C8"/>
    <w:rsid w:val="67B12224"/>
    <w:rsid w:val="67ED628D"/>
    <w:rsid w:val="67F4369A"/>
    <w:rsid w:val="67F873DF"/>
    <w:rsid w:val="67FA55A3"/>
    <w:rsid w:val="67FB68A8"/>
    <w:rsid w:val="681151C8"/>
    <w:rsid w:val="68665F57"/>
    <w:rsid w:val="687E7D7B"/>
    <w:rsid w:val="68E23B4D"/>
    <w:rsid w:val="693130A1"/>
    <w:rsid w:val="695B7D98"/>
    <w:rsid w:val="69790F04"/>
    <w:rsid w:val="69A86C79"/>
    <w:rsid w:val="69D07728"/>
    <w:rsid w:val="69FF6F72"/>
    <w:rsid w:val="6A0A299B"/>
    <w:rsid w:val="6A1B68A2"/>
    <w:rsid w:val="6A906493"/>
    <w:rsid w:val="6B090729"/>
    <w:rsid w:val="6B0F11E2"/>
    <w:rsid w:val="6B9103C3"/>
    <w:rsid w:val="6BF07722"/>
    <w:rsid w:val="6C0210B1"/>
    <w:rsid w:val="6C38059F"/>
    <w:rsid w:val="6C496EB7"/>
    <w:rsid w:val="6C6860E7"/>
    <w:rsid w:val="6C8947F6"/>
    <w:rsid w:val="6CF3643A"/>
    <w:rsid w:val="6CF4266F"/>
    <w:rsid w:val="6D270D6E"/>
    <w:rsid w:val="6D284CFA"/>
    <w:rsid w:val="6D6E556E"/>
    <w:rsid w:val="6D9632D6"/>
    <w:rsid w:val="6DCA3B30"/>
    <w:rsid w:val="6DED1766"/>
    <w:rsid w:val="6DF139EF"/>
    <w:rsid w:val="6E3C2B6A"/>
    <w:rsid w:val="6E6E7F2A"/>
    <w:rsid w:val="6E725242"/>
    <w:rsid w:val="6E800D76"/>
    <w:rsid w:val="6E965EC4"/>
    <w:rsid w:val="6E9C3E88"/>
    <w:rsid w:val="6EAF50A7"/>
    <w:rsid w:val="6EC61449"/>
    <w:rsid w:val="6ED177DA"/>
    <w:rsid w:val="6F013206"/>
    <w:rsid w:val="6F410D93"/>
    <w:rsid w:val="6F4A74A4"/>
    <w:rsid w:val="6F760366"/>
    <w:rsid w:val="6FC56DEE"/>
    <w:rsid w:val="6FD04AFC"/>
    <w:rsid w:val="6FD47408"/>
    <w:rsid w:val="6FD8258B"/>
    <w:rsid w:val="6FEA15AC"/>
    <w:rsid w:val="6FF30BB6"/>
    <w:rsid w:val="700529B7"/>
    <w:rsid w:val="70065659"/>
    <w:rsid w:val="70113072"/>
    <w:rsid w:val="70173375"/>
    <w:rsid w:val="70335223"/>
    <w:rsid w:val="704C7DF4"/>
    <w:rsid w:val="70670B75"/>
    <w:rsid w:val="70676382"/>
    <w:rsid w:val="70966CD5"/>
    <w:rsid w:val="709848AF"/>
    <w:rsid w:val="70FA71EB"/>
    <w:rsid w:val="71327F14"/>
    <w:rsid w:val="7140694D"/>
    <w:rsid w:val="71A74D85"/>
    <w:rsid w:val="71B43E9D"/>
    <w:rsid w:val="71C80B3D"/>
    <w:rsid w:val="71CD585B"/>
    <w:rsid w:val="71CE7C91"/>
    <w:rsid w:val="71F21D23"/>
    <w:rsid w:val="72141D3C"/>
    <w:rsid w:val="72401A80"/>
    <w:rsid w:val="7251199A"/>
    <w:rsid w:val="7254291F"/>
    <w:rsid w:val="729E5448"/>
    <w:rsid w:val="72C46456"/>
    <w:rsid w:val="72CC5B95"/>
    <w:rsid w:val="73662FED"/>
    <w:rsid w:val="73763CFB"/>
    <w:rsid w:val="737F6B89"/>
    <w:rsid w:val="739003CE"/>
    <w:rsid w:val="739A0A38"/>
    <w:rsid w:val="73B914A2"/>
    <w:rsid w:val="73C31BFC"/>
    <w:rsid w:val="73CD470A"/>
    <w:rsid w:val="73F80DD1"/>
    <w:rsid w:val="742E40BB"/>
    <w:rsid w:val="7457466E"/>
    <w:rsid w:val="74694588"/>
    <w:rsid w:val="7475315E"/>
    <w:rsid w:val="74C04F97"/>
    <w:rsid w:val="74D12A3C"/>
    <w:rsid w:val="74FA76FB"/>
    <w:rsid w:val="750D5096"/>
    <w:rsid w:val="75163786"/>
    <w:rsid w:val="75470F55"/>
    <w:rsid w:val="75680FF8"/>
    <w:rsid w:val="75732515"/>
    <w:rsid w:val="7585185D"/>
    <w:rsid w:val="759871F9"/>
    <w:rsid w:val="75E91581"/>
    <w:rsid w:val="75E95CFE"/>
    <w:rsid w:val="76010E26"/>
    <w:rsid w:val="76DA1A13"/>
    <w:rsid w:val="76F31A34"/>
    <w:rsid w:val="77673652"/>
    <w:rsid w:val="77740D08"/>
    <w:rsid w:val="7776420B"/>
    <w:rsid w:val="777E2CC4"/>
    <w:rsid w:val="778D7463"/>
    <w:rsid w:val="77E757C4"/>
    <w:rsid w:val="78131B3E"/>
    <w:rsid w:val="784A5BBA"/>
    <w:rsid w:val="7866639F"/>
    <w:rsid w:val="790E68AB"/>
    <w:rsid w:val="79990A0D"/>
    <w:rsid w:val="79AE5130"/>
    <w:rsid w:val="79D704F2"/>
    <w:rsid w:val="79E7658E"/>
    <w:rsid w:val="79F57AA2"/>
    <w:rsid w:val="79F964A8"/>
    <w:rsid w:val="7A610456"/>
    <w:rsid w:val="7A6300D6"/>
    <w:rsid w:val="7A89297E"/>
    <w:rsid w:val="7AAD2AD4"/>
    <w:rsid w:val="7AC9440C"/>
    <w:rsid w:val="7B1645D1"/>
    <w:rsid w:val="7B186900"/>
    <w:rsid w:val="7B3B2338"/>
    <w:rsid w:val="7BA051AE"/>
    <w:rsid w:val="7BCD512A"/>
    <w:rsid w:val="7BE81272"/>
    <w:rsid w:val="7BF42DEB"/>
    <w:rsid w:val="7C0F7FDD"/>
    <w:rsid w:val="7C997C61"/>
    <w:rsid w:val="7CA01C22"/>
    <w:rsid w:val="7CA4518D"/>
    <w:rsid w:val="7CC940C8"/>
    <w:rsid w:val="7D1379BF"/>
    <w:rsid w:val="7D3E5210"/>
    <w:rsid w:val="7D7265C6"/>
    <w:rsid w:val="7D7D64EA"/>
    <w:rsid w:val="7DC62CE6"/>
    <w:rsid w:val="7DD86484"/>
    <w:rsid w:val="7DF30332"/>
    <w:rsid w:val="7E34216C"/>
    <w:rsid w:val="7E7B17D5"/>
    <w:rsid w:val="7ED776D3"/>
    <w:rsid w:val="7EF84F00"/>
    <w:rsid w:val="7F095439"/>
    <w:rsid w:val="7F3C1CAE"/>
    <w:rsid w:val="7F5A30FD"/>
    <w:rsid w:val="7F751728"/>
    <w:rsid w:val="7FDC23D1"/>
    <w:rsid w:val="7FE142DA"/>
    <w:rsid w:val="7FE66564"/>
    <w:rsid w:val="7FEF6E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15259</Characters>
  <Lines>127</Lines>
  <Paragraphs>35</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2025-02-10T05:54:50Z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F463181C746F43D5B488A60D2E208B8D</vt:lpwstr>
  </property>
</Properties>
</file>