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常乐智享六个月B款净值型理财产品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w:t>
            </w:r>
            <w:r>
              <w:rPr>
                <w:rFonts w:hint="eastAsia" w:ascii="宋体" w:hAnsi="宋体" w:cs="宋体"/>
                <w:color w:val="000000"/>
                <w:sz w:val="24"/>
                <w:szCs w:val="24"/>
                <w:u w:val="none"/>
                <w:lang w:val="en-US" w:eastAsia="zh-CN"/>
              </w:rPr>
              <w:t>B</w:t>
            </w:r>
            <w:r>
              <w:rPr>
                <w:rFonts w:hint="eastAsia" w:ascii="宋体" w:hAnsi="宋体" w:cs="宋体"/>
                <w:color w:val="000000"/>
                <w:sz w:val="24"/>
                <w:szCs w:val="24"/>
                <w:u w:val="none"/>
                <w:lang w:eastAsia="zh-CN"/>
              </w:rPr>
              <w:t>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153</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CLZXB6M153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21</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0.90</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2.40</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color w:val="000000"/>
          <w:kern w:val="0"/>
          <w:sz w:val="15"/>
          <w:szCs w:val="15"/>
        </w:rPr>
      </w:pPr>
      <w:r>
        <w:rPr>
          <w:rFonts w:hint="eastAsia" w:ascii="宋体" w:hAnsi="宋体" w:cs="宋体"/>
          <w:color w:val="000000"/>
          <w:kern w:val="0"/>
          <w:sz w:val="15"/>
          <w:szCs w:val="15"/>
          <w:lang w:val="en-US" w:eastAsia="zh-CN"/>
        </w:rPr>
        <w:t>5</w:t>
      </w:r>
      <w:r>
        <w:rPr>
          <w:rFonts w:hint="eastAsia" w:ascii="宋体" w:hAnsi="宋体" w:eastAsia="宋体" w:cs="宋体"/>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w:t>
      </w:r>
      <w:r>
        <w:rPr>
          <w:rFonts w:hint="eastAsia" w:ascii="方正大标宋简体" w:hAnsi="宋体" w:eastAsia="方正大标宋简体"/>
          <w:b/>
          <w:color w:val="000000"/>
          <w:sz w:val="36"/>
          <w:u w:val="single"/>
          <w:lang w:val="en-US" w:eastAsia="zh-CN"/>
        </w:rPr>
        <w:t>B</w:t>
      </w:r>
      <w:r>
        <w:rPr>
          <w:rFonts w:hint="eastAsia" w:ascii="方正大标宋简体" w:hAnsi="宋体" w:eastAsia="方正大标宋简体"/>
          <w:b/>
          <w:color w:val="000000"/>
          <w:sz w:val="36"/>
          <w:u w:val="single"/>
        </w:rPr>
        <w:t>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w:t>
            </w:r>
            <w:r>
              <w:rPr>
                <w:rFonts w:hint="eastAsia" w:eastAsia="楷体_GB2312"/>
                <w:color w:val="000000"/>
                <w:u w:val="single"/>
                <w:lang w:val="en-US" w:eastAsia="zh-CN"/>
              </w:rPr>
              <w:t>B</w:t>
            </w:r>
            <w:r>
              <w:rPr>
                <w:rFonts w:hint="eastAsia" w:eastAsia="楷体_GB2312"/>
                <w:color w:val="000000"/>
                <w:u w:val="single"/>
              </w:rPr>
              <w:t>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hint="eastAsia" w:ascii="Times New Roman" w:hAnsi="Times New Roman" w:eastAsia="楷体_GB2312"/>
                <w:color w:val="000000"/>
              </w:rPr>
            </w:pPr>
            <w:r>
              <w:rPr>
                <w:rFonts w:hint="eastAsia" w:ascii="Times New Roman" w:hAnsi="Times New Roman" w:eastAsia="楷体_GB2312"/>
                <w:color w:val="000000"/>
              </w:rPr>
              <w:t>C1115421000017</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lang w:val="en-US" w:eastAsia="zh-CN"/>
              </w:rPr>
              <w:t>B</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eastAsia="楷体_GB2312"/>
                <w:color w:val="000000"/>
              </w:rPr>
            </w:pPr>
            <w:r>
              <w:rPr>
                <w:rFonts w:hint="eastAsia" w:eastAsia="楷体_GB2312"/>
                <w:color w:val="000000"/>
              </w:rPr>
              <w:t>认购期及开放期内业绩比较基准详见常熟农商银行发布的公告。</w:t>
            </w:r>
          </w:p>
          <w:p>
            <w:pPr>
              <w:widowControl w:val="0"/>
              <w:wordWrap/>
              <w:adjustRightInd/>
              <w:snapToGrid/>
              <w:spacing w:beforeLines="0" w:afterLines="0" w:line="360" w:lineRule="exact"/>
              <w:ind w:left="0" w:leftChars="0" w:right="0" w:firstLine="0" w:firstLineChars="0"/>
              <w:jc w:val="both"/>
              <w:textAlignment w:val="auto"/>
              <w:outlineLvl w:val="9"/>
              <w:rPr>
                <w:rFonts w:hint="eastAsia" w:ascii="Times New Roman" w:hAnsi="Times New Roman" w:eastAsia="楷体_GB2312" w:cs="Times New Roman"/>
                <w:color w:val="000000"/>
                <w:lang w:eastAsia="zh-CN"/>
              </w:rPr>
            </w:pPr>
            <w:r>
              <w:rPr>
                <w:rFonts w:ascii="Times New Roman" w:hAnsi="Times New Roman" w:eastAsia="楷体_GB2312"/>
                <w:b/>
                <w:bCs/>
                <w:color w:val="000000"/>
              </w:rPr>
              <w:t>业绩比较基准的说明：</w:t>
            </w:r>
            <w:r>
              <w:rPr>
                <w:rFonts w:hint="eastAsia" w:ascii="Times New Roman" w:hAnsi="Times New Roman" w:eastAsia="楷体_GB2312" w:cs="Times New Roman"/>
                <w:color w:val="000000"/>
                <w:lang w:eastAsia="zh-CN"/>
              </w:rPr>
              <w:t>本产品拟投资资产的比例为</w:t>
            </w:r>
            <w:r>
              <w:rPr>
                <w:rFonts w:hint="eastAsia" w:ascii="Times New Roman" w:hAnsi="Times New Roman" w:eastAsia="楷体_GB2312"/>
                <w:color w:val="000000"/>
              </w:rPr>
              <w:t>存款、货币基金等现金类资产</w:t>
            </w:r>
            <w:r>
              <w:rPr>
                <w:rFonts w:hint="eastAsia" w:ascii="Times New Roman" w:hAnsi="Times New Roman" w:eastAsia="楷体_GB2312"/>
                <w:b w:val="0"/>
                <w:bCs w:val="0"/>
                <w:color w:val="000000"/>
              </w:rPr>
              <w:t xml:space="preserve"> 0-30%</w:t>
            </w:r>
            <w:r>
              <w:rPr>
                <w:rFonts w:hint="eastAsia" w:ascii="Times New Roman" w:hAnsi="Times New Roman" w:eastAsia="楷体_GB2312"/>
                <w:color w:val="000000"/>
              </w:rPr>
              <w:t>，债券资产、同业存单、同业拆借、回购、债券基金</w:t>
            </w:r>
            <w:r>
              <w:rPr>
                <w:rFonts w:hint="eastAsia" w:ascii="Times New Roman" w:hAnsi="Times New Roman" w:eastAsia="楷体_GB2312"/>
                <w:b w:val="0"/>
                <w:bCs w:val="0"/>
                <w:color w:val="000000"/>
              </w:rPr>
              <w:t>30-100%</w:t>
            </w:r>
            <w:r>
              <w:rPr>
                <w:rFonts w:hint="eastAsia" w:ascii="Times New Roman" w:hAnsi="Times New Roman" w:eastAsia="楷体_GB2312"/>
                <w:color w:val="000000"/>
              </w:rPr>
              <w:t>，同业借款、理财直融工具、债权融资计划及其他符合监管要求的债权类资产</w:t>
            </w:r>
            <w:r>
              <w:rPr>
                <w:rFonts w:hint="eastAsia" w:ascii="Times New Roman" w:hAnsi="Times New Roman" w:eastAsia="楷体_GB2312"/>
                <w:b w:val="0"/>
                <w:bCs w:val="0"/>
                <w:color w:val="000000"/>
              </w:rPr>
              <w:t>0-</w:t>
            </w:r>
            <w:r>
              <w:rPr>
                <w:rFonts w:hint="eastAsia" w:ascii="Times New Roman" w:hAnsi="Times New Roman" w:eastAsia="楷体_GB2312"/>
                <w:b w:val="0"/>
                <w:bCs w:val="0"/>
                <w:color w:val="000000"/>
                <w:lang w:val="en-US" w:eastAsia="zh-CN"/>
              </w:rPr>
              <w:t>5</w:t>
            </w:r>
            <w:r>
              <w:rPr>
                <w:rFonts w:hint="eastAsia" w:ascii="Times New Roman" w:hAnsi="Times New Roman" w:eastAsia="楷体_GB2312"/>
                <w:b w:val="0"/>
                <w:bCs w:val="0"/>
                <w:color w:val="000000"/>
              </w:rPr>
              <w:t>0%</w:t>
            </w:r>
            <w:r>
              <w:rPr>
                <w:rFonts w:hint="eastAsia" w:ascii="Times New Roman" w:hAnsi="Times New Roman" w:eastAsia="楷体_GB2312"/>
                <w:color w:val="000000"/>
              </w:rPr>
              <w:t>，股票型基金、混合型基金等权益类资产，以及金融衍生品等</w:t>
            </w:r>
            <w:r>
              <w:rPr>
                <w:rFonts w:hint="eastAsia" w:ascii="Times New Roman" w:hAnsi="Times New Roman" w:eastAsia="楷体_GB2312"/>
                <w:b w:val="0"/>
                <w:bCs w:val="0"/>
                <w:color w:val="000000"/>
              </w:rPr>
              <w:t>0-20%</w:t>
            </w:r>
            <w:r>
              <w:rPr>
                <w:rFonts w:hint="eastAsia" w:ascii="Times New Roman" w:hAnsi="Times New Roman" w:eastAsia="楷体_GB2312" w:cs="Times New Roman"/>
                <w:color w:val="000000"/>
                <w:lang w:eastAsia="zh-CN"/>
              </w:rPr>
              <w:t>，杠杆率不超</w:t>
            </w:r>
            <w:r>
              <w:rPr>
                <w:rFonts w:hint="eastAsia" w:ascii="Times New Roman" w:hAnsi="Times New Roman" w:eastAsia="楷体_GB2312" w:cs="Times New Roman"/>
                <w:color w:val="000000"/>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spacing w:beforeLines="0" w:afterLines="0" w:line="360" w:lineRule="exact"/>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11</w:t>
            </w:r>
            <w:r>
              <w:rPr>
                <w:rFonts w:hint="eastAsia" w:eastAsia="楷体_GB2312"/>
                <w:b/>
                <w:color w:val="000000"/>
                <w:szCs w:val="21"/>
                <w:u w:val="single"/>
              </w:rPr>
              <w:t>日</w:t>
            </w:r>
            <w:r>
              <w:rPr>
                <w:rFonts w:hint="eastAsia" w:eastAsia="楷体_GB2312"/>
                <w:b/>
                <w:color w:val="000000"/>
                <w:u w:val="single"/>
              </w:rPr>
              <w:t>8:30至</w:t>
            </w:r>
            <w:r>
              <w:rPr>
                <w:rFonts w:hint="eastAsia" w:eastAsia="楷体_GB2312"/>
                <w:b/>
                <w:color w:val="000000"/>
                <w:szCs w:val="21"/>
                <w:u w:val="single"/>
              </w:rPr>
              <w:t>2021年</w:t>
            </w:r>
            <w:r>
              <w:rPr>
                <w:rFonts w:hint="eastAsia" w:eastAsia="楷体_GB2312"/>
                <w:b/>
                <w:color w:val="000000"/>
                <w:szCs w:val="21"/>
                <w:u w:val="single"/>
                <w:lang w:val="en-US" w:eastAsia="zh-CN"/>
              </w:rPr>
              <w:t>11</w:t>
            </w:r>
            <w:r>
              <w:rPr>
                <w:rFonts w:hint="eastAsia" w:eastAsia="楷体_GB2312"/>
                <w:b/>
                <w:color w:val="000000"/>
                <w:szCs w:val="21"/>
                <w:u w:val="single"/>
              </w:rPr>
              <w:t>月</w:t>
            </w:r>
            <w:r>
              <w:rPr>
                <w:rFonts w:hint="eastAsia" w:eastAsia="楷体_GB2312"/>
                <w:b/>
                <w:color w:val="000000"/>
                <w:szCs w:val="21"/>
                <w:u w:val="single"/>
                <w:lang w:val="en-US" w:eastAsia="zh-CN"/>
              </w:rPr>
              <w:t>17</w:t>
            </w:r>
            <w:r>
              <w:rPr>
                <w:rFonts w:hint="eastAsia" w:eastAsia="楷体_GB2312"/>
                <w:b/>
                <w:color w:val="000000"/>
                <w:szCs w:val="21"/>
                <w:u w:val="single"/>
              </w:rPr>
              <w:t>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w:t>
            </w:r>
            <w:r>
              <w:rPr>
                <w:rFonts w:hint="eastAsia" w:eastAsia="楷体_GB2312"/>
                <w:b/>
                <w:bCs/>
                <w:color w:val="000000"/>
                <w:u w:val="single"/>
                <w:lang w:val="en-US" w:eastAsia="zh-CN"/>
              </w:rPr>
              <w:t>11</w:t>
            </w:r>
            <w:r>
              <w:rPr>
                <w:rFonts w:hint="eastAsia" w:eastAsia="楷体_GB2312"/>
                <w:b/>
                <w:bCs/>
                <w:color w:val="000000"/>
                <w:u w:val="single"/>
              </w:rPr>
              <w:t>月</w:t>
            </w:r>
            <w:r>
              <w:rPr>
                <w:rFonts w:hint="eastAsia" w:eastAsia="楷体_GB2312"/>
                <w:b/>
                <w:bCs/>
                <w:color w:val="000000"/>
                <w:u w:val="single"/>
                <w:lang w:val="en-US" w:eastAsia="zh-CN"/>
              </w:rPr>
              <w:t>18</w:t>
            </w:r>
            <w:r>
              <w:rPr>
                <w:rFonts w:hint="eastAsia" w:eastAsia="楷体_GB2312"/>
                <w:b/>
                <w:bCs/>
                <w:color w:val="000000"/>
                <w:u w:val="single"/>
              </w:rPr>
              <w:t>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w:t>
            </w:r>
            <w:r>
              <w:rPr>
                <w:rFonts w:hint="eastAsia" w:eastAsia="楷体_GB2312"/>
                <w:b/>
                <w:bCs/>
                <w:color w:val="000000"/>
                <w:lang w:val="en-US" w:eastAsia="zh-CN"/>
              </w:rPr>
              <w:t>11</w:t>
            </w:r>
            <w:r>
              <w:rPr>
                <w:rFonts w:hint="eastAsia" w:eastAsia="楷体_GB2312"/>
                <w:b/>
                <w:bCs/>
                <w:color w:val="000000"/>
              </w:rPr>
              <w:t>月</w:t>
            </w:r>
            <w:r>
              <w:rPr>
                <w:rFonts w:hint="eastAsia" w:eastAsia="楷体_GB2312"/>
                <w:b/>
                <w:bCs/>
                <w:color w:val="000000"/>
                <w:lang w:val="en-US" w:eastAsia="zh-CN"/>
              </w:rPr>
              <w:t>18</w:t>
            </w:r>
            <w:r>
              <w:rPr>
                <w:rFonts w:hint="eastAsia" w:eastAsia="楷体_GB2312"/>
                <w:b/>
                <w:bCs/>
                <w:color w:val="000000"/>
              </w:rPr>
              <w:t>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u w:val="single"/>
              </w:rPr>
              <w:t>%/</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w:t>
            </w:r>
            <w:r>
              <w:rPr>
                <w:rFonts w:hint="eastAsia" w:ascii="楷体_GB2312" w:hAnsi="Times New Roman" w:eastAsia="楷体_GB2312"/>
                <w:color w:val="000000"/>
                <w:u w:val="single"/>
                <w:lang w:val="en-US" w:eastAsia="zh-CN"/>
              </w:rPr>
              <w:t>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w:t>
      </w:r>
      <w:r>
        <w:rPr>
          <w:rFonts w:hint="eastAsia" w:eastAsia="楷体_GB2312"/>
          <w:color w:val="000000"/>
          <w:lang w:val="en-US" w:eastAsia="zh-CN"/>
        </w:rPr>
        <w:t>11</w:t>
      </w:r>
      <w:r>
        <w:rPr>
          <w:rFonts w:hint="eastAsia" w:eastAsia="楷体_GB2312"/>
          <w:color w:val="000000"/>
        </w:rPr>
        <w:t>月</w:t>
      </w:r>
      <w:r>
        <w:rPr>
          <w:rFonts w:hint="eastAsia" w:eastAsia="楷体_GB2312"/>
          <w:color w:val="000000"/>
          <w:lang w:val="en-US" w:eastAsia="zh-CN"/>
        </w:rPr>
        <w:t>18</w:t>
      </w:r>
      <w:r>
        <w:rPr>
          <w:rFonts w:hint="eastAsia" w:eastAsia="楷体_GB2312"/>
          <w:color w:val="000000"/>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w:t>
            </w:r>
            <w:r>
              <w:rPr>
                <w:rFonts w:hint="eastAsia" w:eastAsia="楷体_GB2312"/>
                <w:color w:val="000000"/>
                <w:lang w:val="en-US" w:eastAsia="zh-CN"/>
              </w:rPr>
              <w:t>B</w:t>
            </w:r>
            <w:r>
              <w:rPr>
                <w:rFonts w:hint="eastAsia" w:eastAsia="楷体_GB2312"/>
                <w:color w:val="000000"/>
              </w:rPr>
              <w:t>款-1期</w:t>
            </w:r>
          </w:p>
        </w:tc>
        <w:tc>
          <w:tcPr>
            <w:tcW w:w="1320"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11</w:t>
            </w:r>
          </w:p>
        </w:tc>
        <w:tc>
          <w:tcPr>
            <w:tcW w:w="1297"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17</w:t>
            </w:r>
          </w:p>
        </w:tc>
        <w:tc>
          <w:tcPr>
            <w:tcW w:w="1298"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21</w:t>
            </w:r>
            <w:r>
              <w:rPr>
                <w:rFonts w:eastAsia="楷体_GB2312"/>
                <w:color w:val="000000"/>
                <w:highlight w:val="none"/>
              </w:rPr>
              <w:t>/</w:t>
            </w:r>
            <w:r>
              <w:rPr>
                <w:rFonts w:hint="eastAsia" w:eastAsia="楷体_GB2312"/>
                <w:color w:val="000000"/>
                <w:highlight w:val="none"/>
                <w:lang w:val="en-US" w:eastAsia="zh-CN"/>
              </w:rPr>
              <w:t>11</w:t>
            </w:r>
            <w:r>
              <w:rPr>
                <w:rFonts w:eastAsia="楷体_GB2312"/>
                <w:color w:val="000000"/>
                <w:highlight w:val="none"/>
              </w:rPr>
              <w:t>/</w:t>
            </w:r>
            <w:r>
              <w:rPr>
                <w:rFonts w:hint="eastAsia" w:eastAsia="楷体_GB2312"/>
                <w:color w:val="000000"/>
                <w:highlight w:val="none"/>
                <w:lang w:val="en-US" w:eastAsia="zh-CN"/>
              </w:rPr>
              <w:t>18</w:t>
            </w:r>
          </w:p>
        </w:tc>
        <w:tc>
          <w:tcPr>
            <w:tcW w:w="1890" w:type="dxa"/>
            <w:vAlign w:val="center"/>
          </w:tcPr>
          <w:p>
            <w:pPr>
              <w:spacing w:line="360" w:lineRule="exact"/>
              <w:jc w:val="center"/>
              <w:rPr>
                <w:rFonts w:hint="eastAsia" w:eastAsia="楷体_GB2312"/>
                <w:color w:val="000000"/>
                <w:lang w:val="en-US" w:eastAsia="zh-CN"/>
              </w:rPr>
            </w:pPr>
            <w:r>
              <w:rPr>
                <w:rFonts w:hint="eastAsia" w:eastAsia="楷体_GB2312"/>
                <w:color w:val="000000"/>
                <w:lang w:val="en-US" w:eastAsia="zh-CN"/>
              </w:rPr>
              <w:t>182</w:t>
            </w:r>
          </w:p>
        </w:tc>
        <w:tc>
          <w:tcPr>
            <w:tcW w:w="1365" w:type="dxa"/>
            <w:vAlign w:val="center"/>
          </w:tcPr>
          <w:p>
            <w:pPr>
              <w:spacing w:line="360" w:lineRule="exact"/>
              <w:jc w:val="center"/>
              <w:rPr>
                <w:rFonts w:eastAsia="楷体_GB2312"/>
                <w:color w:val="000000"/>
              </w:rPr>
            </w:pPr>
            <w:r>
              <w:rPr>
                <w:rFonts w:eastAsia="楷体_GB2312"/>
                <w:color w:val="000000"/>
                <w:highlight w:val="none"/>
              </w:rPr>
              <w:t>20</w:t>
            </w:r>
            <w:r>
              <w:rPr>
                <w:rFonts w:hint="eastAsia" w:eastAsia="楷体_GB2312"/>
                <w:color w:val="000000"/>
                <w:highlight w:val="none"/>
              </w:rPr>
              <w:t>2</w:t>
            </w:r>
            <w:r>
              <w:rPr>
                <w:rFonts w:hint="eastAsia" w:eastAsia="楷体_GB2312"/>
                <w:color w:val="000000"/>
                <w:highlight w:val="none"/>
                <w:lang w:val="en-US" w:eastAsia="zh-CN"/>
              </w:rPr>
              <w:t>2</w:t>
            </w:r>
            <w:r>
              <w:rPr>
                <w:rFonts w:eastAsia="楷体_GB2312"/>
                <w:color w:val="000000"/>
                <w:highlight w:val="none"/>
              </w:rPr>
              <w:t>/</w:t>
            </w:r>
            <w:r>
              <w:rPr>
                <w:rFonts w:hint="eastAsia" w:eastAsia="楷体_GB2312"/>
                <w:color w:val="000000"/>
                <w:highlight w:val="none"/>
                <w:lang w:val="en-US" w:eastAsia="zh-CN"/>
              </w:rPr>
              <w:t>05</w:t>
            </w:r>
            <w:r>
              <w:rPr>
                <w:rFonts w:eastAsia="楷体_GB2312"/>
                <w:color w:val="000000"/>
                <w:highlight w:val="none"/>
              </w:rPr>
              <w:t>/</w:t>
            </w:r>
            <w:r>
              <w:rPr>
                <w:rFonts w:hint="eastAsia" w:eastAsia="楷体_GB2312"/>
                <w:color w:val="000000"/>
                <w:highlight w:val="none"/>
                <w:lang w:val="en-US" w:eastAsia="zh-CN"/>
              </w:rPr>
              <w:t>19</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24442988"/>
      <w:bookmarkStart w:id="3" w:name="_Toc37147666"/>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本产品拟配置资产的比例为存款、货币基金等现金类资产</w:t>
      </w:r>
      <w:r>
        <w:rPr>
          <w:rFonts w:hint="eastAsia" w:ascii="楷体_GB2312" w:hAnsi="Times New Roman" w:eastAsia="楷体_GB2312"/>
          <w:b/>
          <w:bCs/>
          <w:color w:val="000000"/>
        </w:rPr>
        <w:t xml:space="preserve"> 0-30%</w:t>
      </w:r>
      <w:r>
        <w:rPr>
          <w:rFonts w:hint="eastAsia" w:ascii="楷体_GB2312" w:hAnsi="Times New Roman" w:eastAsia="楷体_GB2312"/>
          <w:color w:val="000000"/>
        </w:rPr>
        <w:t>，债券资产、同业存单、同业拆借、回购、债券基金</w:t>
      </w:r>
      <w:r>
        <w:rPr>
          <w:rFonts w:ascii="楷体_GB2312" w:hAnsi="Times New Roman" w:eastAsia="楷体_GB2312"/>
          <w:b/>
          <w:bCs/>
          <w:color w:val="000000"/>
        </w:rPr>
        <w:t>3</w:t>
      </w:r>
      <w:r>
        <w:rPr>
          <w:rFonts w:hint="eastAsia" w:ascii="楷体_GB2312" w:hAnsi="Times New Roman" w:eastAsia="楷体_GB2312"/>
          <w:b/>
          <w:bCs/>
          <w:color w:val="000000"/>
        </w:rPr>
        <w:t>0-100%</w:t>
      </w:r>
      <w:r>
        <w:rPr>
          <w:rFonts w:hint="eastAsia" w:ascii="楷体_GB2312" w:hAnsi="Times New Roman" w:eastAsia="楷体_GB2312"/>
          <w:color w:val="000000"/>
        </w:rPr>
        <w:t>，同业借款、理财直融工具、债权融资计划及其他符合监管要求的债权类资产</w:t>
      </w:r>
      <w:r>
        <w:rPr>
          <w:rFonts w:hint="eastAsia" w:ascii="楷体_GB2312" w:hAnsi="Times New Roman" w:eastAsia="楷体_GB2312"/>
          <w:b/>
          <w:bCs/>
          <w:color w:val="000000"/>
        </w:rPr>
        <w:t>0-</w:t>
      </w:r>
      <w:r>
        <w:rPr>
          <w:rFonts w:hint="eastAsia" w:ascii="楷体_GB2312" w:hAnsi="Times New Roman" w:eastAsia="楷体_GB2312"/>
          <w:b/>
          <w:bCs/>
          <w:color w:val="000000"/>
          <w:lang w:val="en-US" w:eastAsia="zh-CN"/>
        </w:rPr>
        <w:t>5</w:t>
      </w:r>
      <w:r>
        <w:rPr>
          <w:rFonts w:hint="eastAsia" w:ascii="楷体_GB2312" w:hAnsi="Times New Roman" w:eastAsia="楷体_GB2312"/>
          <w:b/>
          <w:bCs/>
          <w:color w:val="000000"/>
        </w:rPr>
        <w:t>0%</w:t>
      </w:r>
      <w:r>
        <w:rPr>
          <w:rFonts w:hint="eastAsia" w:ascii="楷体_GB2312" w:hAnsi="Times New Roman" w:eastAsia="楷体_GB2312"/>
          <w:color w:val="000000"/>
        </w:rPr>
        <w:t>，股票型基金、混合型基金等权益类资产，以及金融衍生品等</w:t>
      </w:r>
      <w:r>
        <w:rPr>
          <w:rFonts w:hint="eastAsia" w:ascii="楷体_GB2312" w:hAnsi="Times New Roman" w:eastAsia="楷体_GB2312"/>
          <w:b/>
          <w:bCs/>
          <w:color w:val="000000"/>
        </w:rPr>
        <w:t>0-20%</w:t>
      </w:r>
      <w:r>
        <w:rPr>
          <w:rFonts w:hint="eastAsia" w:ascii="楷体_GB2312" w:hAnsi="Times New Roman" w:eastAsia="楷体_GB2312"/>
          <w:color w:val="000000"/>
        </w:rPr>
        <w:t>。</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95"/>
      <w:bookmarkStart w:id="5" w:name="_Toc37147671"/>
      <w:bookmarkStart w:id="6" w:name="_Toc24442823"/>
      <w:bookmarkStart w:id="7" w:name="_Toc24442938"/>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3D8B"/>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305281"/>
    <w:rsid w:val="015107E6"/>
    <w:rsid w:val="020277D8"/>
    <w:rsid w:val="020F631C"/>
    <w:rsid w:val="02485D4E"/>
    <w:rsid w:val="026D534C"/>
    <w:rsid w:val="02840131"/>
    <w:rsid w:val="028E264D"/>
    <w:rsid w:val="02C14713"/>
    <w:rsid w:val="02EF77E1"/>
    <w:rsid w:val="03243133"/>
    <w:rsid w:val="03633282"/>
    <w:rsid w:val="036C6DAA"/>
    <w:rsid w:val="038412F1"/>
    <w:rsid w:val="03E531F1"/>
    <w:rsid w:val="04815B5D"/>
    <w:rsid w:val="048C0506"/>
    <w:rsid w:val="04EF11D6"/>
    <w:rsid w:val="050104C5"/>
    <w:rsid w:val="05066B4B"/>
    <w:rsid w:val="053B19FF"/>
    <w:rsid w:val="053E4F3D"/>
    <w:rsid w:val="05711A7E"/>
    <w:rsid w:val="058C00A9"/>
    <w:rsid w:val="05921FB2"/>
    <w:rsid w:val="05B437EC"/>
    <w:rsid w:val="05EE1047"/>
    <w:rsid w:val="05F2584F"/>
    <w:rsid w:val="06187C8D"/>
    <w:rsid w:val="064A5EDE"/>
    <w:rsid w:val="06721621"/>
    <w:rsid w:val="068B4749"/>
    <w:rsid w:val="069A535A"/>
    <w:rsid w:val="06B10413"/>
    <w:rsid w:val="06BA258E"/>
    <w:rsid w:val="072B6851"/>
    <w:rsid w:val="074608FE"/>
    <w:rsid w:val="07726BC0"/>
    <w:rsid w:val="077730CD"/>
    <w:rsid w:val="07B55485"/>
    <w:rsid w:val="07BA06BE"/>
    <w:rsid w:val="07C74150"/>
    <w:rsid w:val="07DB0F12"/>
    <w:rsid w:val="07EF32E6"/>
    <w:rsid w:val="084837A5"/>
    <w:rsid w:val="08487F22"/>
    <w:rsid w:val="085262B3"/>
    <w:rsid w:val="086246CF"/>
    <w:rsid w:val="086D2969"/>
    <w:rsid w:val="08B140CE"/>
    <w:rsid w:val="08D51FE3"/>
    <w:rsid w:val="08F824D6"/>
    <w:rsid w:val="09002F54"/>
    <w:rsid w:val="097A4186"/>
    <w:rsid w:val="09D94E35"/>
    <w:rsid w:val="09DD76C5"/>
    <w:rsid w:val="09E24B3C"/>
    <w:rsid w:val="09FB2DEB"/>
    <w:rsid w:val="09FF3664"/>
    <w:rsid w:val="0A3B2F80"/>
    <w:rsid w:val="0A3B3BD5"/>
    <w:rsid w:val="0A436A63"/>
    <w:rsid w:val="0A5C798D"/>
    <w:rsid w:val="0A697B87"/>
    <w:rsid w:val="0A773A3A"/>
    <w:rsid w:val="0A8E1461"/>
    <w:rsid w:val="0A9C2975"/>
    <w:rsid w:val="0AB74823"/>
    <w:rsid w:val="0AC57691"/>
    <w:rsid w:val="0AD13784"/>
    <w:rsid w:val="0AD3387D"/>
    <w:rsid w:val="0B322C9A"/>
    <w:rsid w:val="0B4F2ACA"/>
    <w:rsid w:val="0B921C08"/>
    <w:rsid w:val="0BE36CA3"/>
    <w:rsid w:val="0BF82C31"/>
    <w:rsid w:val="0C6E04EF"/>
    <w:rsid w:val="0C76412E"/>
    <w:rsid w:val="0CA279BF"/>
    <w:rsid w:val="0CAB26D5"/>
    <w:rsid w:val="0CB17E61"/>
    <w:rsid w:val="0D063CA4"/>
    <w:rsid w:val="0D552B6D"/>
    <w:rsid w:val="0D5960F6"/>
    <w:rsid w:val="0D7359A1"/>
    <w:rsid w:val="0D9C536D"/>
    <w:rsid w:val="0E183F30"/>
    <w:rsid w:val="0E1A7433"/>
    <w:rsid w:val="0E442D94"/>
    <w:rsid w:val="0E8C5D7C"/>
    <w:rsid w:val="0E8F15F0"/>
    <w:rsid w:val="0EDA076B"/>
    <w:rsid w:val="103764A9"/>
    <w:rsid w:val="105B1B61"/>
    <w:rsid w:val="10807BA2"/>
    <w:rsid w:val="10997447"/>
    <w:rsid w:val="10A854E3"/>
    <w:rsid w:val="10BD6012"/>
    <w:rsid w:val="10EC3811"/>
    <w:rsid w:val="11044578"/>
    <w:rsid w:val="114A726B"/>
    <w:rsid w:val="116B08B9"/>
    <w:rsid w:val="116F3C27"/>
    <w:rsid w:val="1186384C"/>
    <w:rsid w:val="11D3174D"/>
    <w:rsid w:val="12111CE2"/>
    <w:rsid w:val="12374872"/>
    <w:rsid w:val="125633BB"/>
    <w:rsid w:val="128F1B00"/>
    <w:rsid w:val="12A32D1F"/>
    <w:rsid w:val="12C82F5F"/>
    <w:rsid w:val="12EA048C"/>
    <w:rsid w:val="13180760"/>
    <w:rsid w:val="13853312"/>
    <w:rsid w:val="13860D94"/>
    <w:rsid w:val="13AD22D8"/>
    <w:rsid w:val="13B35317"/>
    <w:rsid w:val="13C72343"/>
    <w:rsid w:val="13E56022"/>
    <w:rsid w:val="13FC2057"/>
    <w:rsid w:val="142D60AA"/>
    <w:rsid w:val="14480E52"/>
    <w:rsid w:val="1462527F"/>
    <w:rsid w:val="148F28CB"/>
    <w:rsid w:val="14A127E5"/>
    <w:rsid w:val="153F62B3"/>
    <w:rsid w:val="15584512"/>
    <w:rsid w:val="15596EC0"/>
    <w:rsid w:val="15930A5E"/>
    <w:rsid w:val="1604074F"/>
    <w:rsid w:val="16391602"/>
    <w:rsid w:val="164467AA"/>
    <w:rsid w:val="168A398A"/>
    <w:rsid w:val="16B36D4D"/>
    <w:rsid w:val="16B62398"/>
    <w:rsid w:val="16E21E1B"/>
    <w:rsid w:val="16F577B6"/>
    <w:rsid w:val="1703454E"/>
    <w:rsid w:val="17206192"/>
    <w:rsid w:val="1771638A"/>
    <w:rsid w:val="17AE19F4"/>
    <w:rsid w:val="17AF08A9"/>
    <w:rsid w:val="17AF6D0B"/>
    <w:rsid w:val="17D313A3"/>
    <w:rsid w:val="17DB7587"/>
    <w:rsid w:val="17E70043"/>
    <w:rsid w:val="17E91348"/>
    <w:rsid w:val="17F6065E"/>
    <w:rsid w:val="181E68F0"/>
    <w:rsid w:val="18292F6E"/>
    <w:rsid w:val="182D2D36"/>
    <w:rsid w:val="184503DD"/>
    <w:rsid w:val="18B60219"/>
    <w:rsid w:val="18D944D4"/>
    <w:rsid w:val="18DD7D48"/>
    <w:rsid w:val="18DF3E5F"/>
    <w:rsid w:val="191142D4"/>
    <w:rsid w:val="19623EA2"/>
    <w:rsid w:val="19A50560"/>
    <w:rsid w:val="19D4203E"/>
    <w:rsid w:val="19DC4FFB"/>
    <w:rsid w:val="19DF4BB5"/>
    <w:rsid w:val="19E908B9"/>
    <w:rsid w:val="1A29778A"/>
    <w:rsid w:val="1A491DAC"/>
    <w:rsid w:val="1A8100C2"/>
    <w:rsid w:val="1A8F0322"/>
    <w:rsid w:val="1AAF48E3"/>
    <w:rsid w:val="1B127276"/>
    <w:rsid w:val="1B171500"/>
    <w:rsid w:val="1B3153FC"/>
    <w:rsid w:val="1BC85AA0"/>
    <w:rsid w:val="1BDB5989"/>
    <w:rsid w:val="1C2E0BDD"/>
    <w:rsid w:val="1C392F29"/>
    <w:rsid w:val="1C4E5540"/>
    <w:rsid w:val="1C6F2DB6"/>
    <w:rsid w:val="1C7F1A3E"/>
    <w:rsid w:val="1C951971"/>
    <w:rsid w:val="1CF5241E"/>
    <w:rsid w:val="1D86477C"/>
    <w:rsid w:val="1DBA3E18"/>
    <w:rsid w:val="1E096D6E"/>
    <w:rsid w:val="1E0E375C"/>
    <w:rsid w:val="1E2C078D"/>
    <w:rsid w:val="1E414EAF"/>
    <w:rsid w:val="1E437E7F"/>
    <w:rsid w:val="1E521BBB"/>
    <w:rsid w:val="1E5C3E6E"/>
    <w:rsid w:val="1E5D6D5E"/>
    <w:rsid w:val="1EAE1EFC"/>
    <w:rsid w:val="1EBE5AFE"/>
    <w:rsid w:val="1EF67E9C"/>
    <w:rsid w:val="1F163F8E"/>
    <w:rsid w:val="1F4958D9"/>
    <w:rsid w:val="1FDD4D81"/>
    <w:rsid w:val="20174E36"/>
    <w:rsid w:val="204358FA"/>
    <w:rsid w:val="204C6209"/>
    <w:rsid w:val="206F170E"/>
    <w:rsid w:val="20CC36EF"/>
    <w:rsid w:val="20F879A7"/>
    <w:rsid w:val="21060EBB"/>
    <w:rsid w:val="21510752"/>
    <w:rsid w:val="21540FBA"/>
    <w:rsid w:val="21637056"/>
    <w:rsid w:val="21783778"/>
    <w:rsid w:val="217B02C7"/>
    <w:rsid w:val="21D44D8B"/>
    <w:rsid w:val="221A5500"/>
    <w:rsid w:val="222C0C9D"/>
    <w:rsid w:val="223C5D9A"/>
    <w:rsid w:val="22850432"/>
    <w:rsid w:val="228A48BA"/>
    <w:rsid w:val="22DC55BE"/>
    <w:rsid w:val="22E31B89"/>
    <w:rsid w:val="232F3534"/>
    <w:rsid w:val="234341C3"/>
    <w:rsid w:val="23B36272"/>
    <w:rsid w:val="23B840A1"/>
    <w:rsid w:val="23DB2F62"/>
    <w:rsid w:val="23ED4783"/>
    <w:rsid w:val="24335B6F"/>
    <w:rsid w:val="25147B41"/>
    <w:rsid w:val="251A1C01"/>
    <w:rsid w:val="25544D4D"/>
    <w:rsid w:val="259C0524"/>
    <w:rsid w:val="264158CF"/>
    <w:rsid w:val="265213ED"/>
    <w:rsid w:val="266C5FDD"/>
    <w:rsid w:val="267E1DB2"/>
    <w:rsid w:val="26D37F62"/>
    <w:rsid w:val="26FF669A"/>
    <w:rsid w:val="27412C7A"/>
    <w:rsid w:val="2792413E"/>
    <w:rsid w:val="27C12B74"/>
    <w:rsid w:val="27C512CF"/>
    <w:rsid w:val="27E53D82"/>
    <w:rsid w:val="283404D0"/>
    <w:rsid w:val="28405395"/>
    <w:rsid w:val="28A87E22"/>
    <w:rsid w:val="28BC293D"/>
    <w:rsid w:val="28E107A2"/>
    <w:rsid w:val="28F76BC7"/>
    <w:rsid w:val="29095BA3"/>
    <w:rsid w:val="29826DFA"/>
    <w:rsid w:val="29BF1089"/>
    <w:rsid w:val="29CD7D23"/>
    <w:rsid w:val="29DB2BB8"/>
    <w:rsid w:val="29FC6970"/>
    <w:rsid w:val="2A017DDD"/>
    <w:rsid w:val="2A120B13"/>
    <w:rsid w:val="2A842B20"/>
    <w:rsid w:val="2AA76E09"/>
    <w:rsid w:val="2B700A50"/>
    <w:rsid w:val="2B7661DC"/>
    <w:rsid w:val="2C0B66D0"/>
    <w:rsid w:val="2C110389"/>
    <w:rsid w:val="2C372A17"/>
    <w:rsid w:val="2C8C7F23"/>
    <w:rsid w:val="2CD07712"/>
    <w:rsid w:val="2CD95E24"/>
    <w:rsid w:val="2D284B7C"/>
    <w:rsid w:val="2D324A76"/>
    <w:rsid w:val="2D406ACD"/>
    <w:rsid w:val="2D4A7886"/>
    <w:rsid w:val="2DA54273"/>
    <w:rsid w:val="2DBA5111"/>
    <w:rsid w:val="2DE845D8"/>
    <w:rsid w:val="2E126E25"/>
    <w:rsid w:val="2E286892"/>
    <w:rsid w:val="2E3C479E"/>
    <w:rsid w:val="2E475FFA"/>
    <w:rsid w:val="2E627EA9"/>
    <w:rsid w:val="2E922BF6"/>
    <w:rsid w:val="2E956F66"/>
    <w:rsid w:val="2ED37CF9"/>
    <w:rsid w:val="2EF54743"/>
    <w:rsid w:val="2F0F2FDB"/>
    <w:rsid w:val="2F5B483E"/>
    <w:rsid w:val="2F663944"/>
    <w:rsid w:val="2F6743D7"/>
    <w:rsid w:val="2F924819"/>
    <w:rsid w:val="2FCF25FE"/>
    <w:rsid w:val="305B7C64"/>
    <w:rsid w:val="30671E52"/>
    <w:rsid w:val="309E19D2"/>
    <w:rsid w:val="30E65649"/>
    <w:rsid w:val="316C6324"/>
    <w:rsid w:val="31BB30A3"/>
    <w:rsid w:val="31D82D97"/>
    <w:rsid w:val="320831A2"/>
    <w:rsid w:val="321118B3"/>
    <w:rsid w:val="322F3062"/>
    <w:rsid w:val="325B798D"/>
    <w:rsid w:val="326D5E9B"/>
    <w:rsid w:val="329B0193"/>
    <w:rsid w:val="32EA7018"/>
    <w:rsid w:val="33A928CE"/>
    <w:rsid w:val="33C2127A"/>
    <w:rsid w:val="33E24302"/>
    <w:rsid w:val="33E46427"/>
    <w:rsid w:val="33FF10DF"/>
    <w:rsid w:val="342B1F77"/>
    <w:rsid w:val="348A3241"/>
    <w:rsid w:val="34A075E3"/>
    <w:rsid w:val="34A672EE"/>
    <w:rsid w:val="34D06C8E"/>
    <w:rsid w:val="34E3747F"/>
    <w:rsid w:val="34EB51C8"/>
    <w:rsid w:val="34ED54E4"/>
    <w:rsid w:val="35130F14"/>
    <w:rsid w:val="355A1216"/>
    <w:rsid w:val="357F17EA"/>
    <w:rsid w:val="35C0789A"/>
    <w:rsid w:val="35C34243"/>
    <w:rsid w:val="35F13A8D"/>
    <w:rsid w:val="36356511"/>
    <w:rsid w:val="365A3207"/>
    <w:rsid w:val="36A2002D"/>
    <w:rsid w:val="36CB3D61"/>
    <w:rsid w:val="36D24400"/>
    <w:rsid w:val="36FA64BE"/>
    <w:rsid w:val="374E17CB"/>
    <w:rsid w:val="376A7A76"/>
    <w:rsid w:val="37C13D08"/>
    <w:rsid w:val="37E856CC"/>
    <w:rsid w:val="37FA7243"/>
    <w:rsid w:val="38667140"/>
    <w:rsid w:val="38A12A51"/>
    <w:rsid w:val="38D45B95"/>
    <w:rsid w:val="39057817"/>
    <w:rsid w:val="390D4614"/>
    <w:rsid w:val="39674039"/>
    <w:rsid w:val="39682ADB"/>
    <w:rsid w:val="39900A80"/>
    <w:rsid w:val="39A43E9E"/>
    <w:rsid w:val="39B131B3"/>
    <w:rsid w:val="39B905C0"/>
    <w:rsid w:val="39C26085"/>
    <w:rsid w:val="39D236E8"/>
    <w:rsid w:val="39D3116A"/>
    <w:rsid w:val="39F529A3"/>
    <w:rsid w:val="39F5367D"/>
    <w:rsid w:val="39FB232E"/>
    <w:rsid w:val="3A03599D"/>
    <w:rsid w:val="3A2B507B"/>
    <w:rsid w:val="3A2D057F"/>
    <w:rsid w:val="3A31515D"/>
    <w:rsid w:val="3AB079D9"/>
    <w:rsid w:val="3ADD4E9F"/>
    <w:rsid w:val="3B0E69A9"/>
    <w:rsid w:val="3CC06339"/>
    <w:rsid w:val="3CC60243"/>
    <w:rsid w:val="3CFB7418"/>
    <w:rsid w:val="3D382B00"/>
    <w:rsid w:val="3D3921C5"/>
    <w:rsid w:val="3D497EEB"/>
    <w:rsid w:val="3D53112B"/>
    <w:rsid w:val="3D754D6F"/>
    <w:rsid w:val="3D8C7E55"/>
    <w:rsid w:val="3D930C99"/>
    <w:rsid w:val="3DAA1B3A"/>
    <w:rsid w:val="3DC65BE7"/>
    <w:rsid w:val="3E1958A3"/>
    <w:rsid w:val="3E2D0A8E"/>
    <w:rsid w:val="3E4B5293"/>
    <w:rsid w:val="3E5654D6"/>
    <w:rsid w:val="3E684ED6"/>
    <w:rsid w:val="3EF25354"/>
    <w:rsid w:val="3F494FE9"/>
    <w:rsid w:val="3F7371F0"/>
    <w:rsid w:val="3FA163F2"/>
    <w:rsid w:val="3FC55E64"/>
    <w:rsid w:val="3FEA600C"/>
    <w:rsid w:val="402356C6"/>
    <w:rsid w:val="403147CD"/>
    <w:rsid w:val="40516596"/>
    <w:rsid w:val="405E4CFE"/>
    <w:rsid w:val="40E363AE"/>
    <w:rsid w:val="410C3445"/>
    <w:rsid w:val="412F645D"/>
    <w:rsid w:val="413570A7"/>
    <w:rsid w:val="414755C8"/>
    <w:rsid w:val="414D3EAF"/>
    <w:rsid w:val="41C37371"/>
    <w:rsid w:val="41C837F8"/>
    <w:rsid w:val="41F0226D"/>
    <w:rsid w:val="41FD4053"/>
    <w:rsid w:val="42054ECF"/>
    <w:rsid w:val="425D61F8"/>
    <w:rsid w:val="42691183"/>
    <w:rsid w:val="428B1338"/>
    <w:rsid w:val="42E94F55"/>
    <w:rsid w:val="42F176D0"/>
    <w:rsid w:val="433462CE"/>
    <w:rsid w:val="4359650D"/>
    <w:rsid w:val="439338C4"/>
    <w:rsid w:val="43CD51C7"/>
    <w:rsid w:val="43CF39F9"/>
    <w:rsid w:val="4430746A"/>
    <w:rsid w:val="4450106D"/>
    <w:rsid w:val="445A3B32"/>
    <w:rsid w:val="446E05D4"/>
    <w:rsid w:val="450B0D95"/>
    <w:rsid w:val="455517CB"/>
    <w:rsid w:val="455E2608"/>
    <w:rsid w:val="45A5284F"/>
    <w:rsid w:val="45D2476C"/>
    <w:rsid w:val="45FD6761"/>
    <w:rsid w:val="464D55E6"/>
    <w:rsid w:val="46534F71"/>
    <w:rsid w:val="467609A9"/>
    <w:rsid w:val="46A509EC"/>
    <w:rsid w:val="46B77214"/>
    <w:rsid w:val="46D467C4"/>
    <w:rsid w:val="46EE736E"/>
    <w:rsid w:val="46FD0882"/>
    <w:rsid w:val="474422FB"/>
    <w:rsid w:val="4757351A"/>
    <w:rsid w:val="47974304"/>
    <w:rsid w:val="47AC69BD"/>
    <w:rsid w:val="47EC769F"/>
    <w:rsid w:val="480A2FBE"/>
    <w:rsid w:val="48185B57"/>
    <w:rsid w:val="487C587B"/>
    <w:rsid w:val="489B28AD"/>
    <w:rsid w:val="49165266"/>
    <w:rsid w:val="49244D8F"/>
    <w:rsid w:val="49547ADD"/>
    <w:rsid w:val="49792302"/>
    <w:rsid w:val="49AB4C68"/>
    <w:rsid w:val="49D01002"/>
    <w:rsid w:val="49D074BD"/>
    <w:rsid w:val="49F308E0"/>
    <w:rsid w:val="4A0A25DB"/>
    <w:rsid w:val="4A17781B"/>
    <w:rsid w:val="4A2645B2"/>
    <w:rsid w:val="4A497731"/>
    <w:rsid w:val="4A586086"/>
    <w:rsid w:val="4A60233B"/>
    <w:rsid w:val="4A811AEE"/>
    <w:rsid w:val="4AA25200"/>
    <w:rsid w:val="4AD743D6"/>
    <w:rsid w:val="4B2D0403"/>
    <w:rsid w:val="4B5F55B3"/>
    <w:rsid w:val="4BED5091"/>
    <w:rsid w:val="4C860EA5"/>
    <w:rsid w:val="4CAF785F"/>
    <w:rsid w:val="4D20328E"/>
    <w:rsid w:val="4D5634F0"/>
    <w:rsid w:val="4D5D1F40"/>
    <w:rsid w:val="4DB95793"/>
    <w:rsid w:val="4DDF0F63"/>
    <w:rsid w:val="4E0E506F"/>
    <w:rsid w:val="4E21063A"/>
    <w:rsid w:val="4E4B256C"/>
    <w:rsid w:val="4E501D2A"/>
    <w:rsid w:val="4E884B66"/>
    <w:rsid w:val="4E8C356D"/>
    <w:rsid w:val="4E8F0CF5"/>
    <w:rsid w:val="4EB621B3"/>
    <w:rsid w:val="4EF26794"/>
    <w:rsid w:val="4EFB2AF1"/>
    <w:rsid w:val="4F1637C8"/>
    <w:rsid w:val="4F454F19"/>
    <w:rsid w:val="4F923C1E"/>
    <w:rsid w:val="4FB205A8"/>
    <w:rsid w:val="4FBB03DB"/>
    <w:rsid w:val="4FC204D3"/>
    <w:rsid w:val="50120DEA"/>
    <w:rsid w:val="50146E75"/>
    <w:rsid w:val="502B5A5D"/>
    <w:rsid w:val="503F6BEE"/>
    <w:rsid w:val="50A04146"/>
    <w:rsid w:val="50A4615B"/>
    <w:rsid w:val="50BA02FE"/>
    <w:rsid w:val="50BB5D80"/>
    <w:rsid w:val="51186119"/>
    <w:rsid w:val="51291058"/>
    <w:rsid w:val="51322546"/>
    <w:rsid w:val="51465964"/>
    <w:rsid w:val="51827D47"/>
    <w:rsid w:val="51AA7C07"/>
    <w:rsid w:val="51E00BA5"/>
    <w:rsid w:val="52163CAA"/>
    <w:rsid w:val="521C7F46"/>
    <w:rsid w:val="52553923"/>
    <w:rsid w:val="52686D40"/>
    <w:rsid w:val="528122E9"/>
    <w:rsid w:val="52995311"/>
    <w:rsid w:val="52DE03BC"/>
    <w:rsid w:val="52E6760E"/>
    <w:rsid w:val="5335235D"/>
    <w:rsid w:val="5338218F"/>
    <w:rsid w:val="534746ED"/>
    <w:rsid w:val="539C5E38"/>
    <w:rsid w:val="53B50F60"/>
    <w:rsid w:val="53D6159A"/>
    <w:rsid w:val="545554E1"/>
    <w:rsid w:val="545B07F5"/>
    <w:rsid w:val="545E1B1E"/>
    <w:rsid w:val="54766E20"/>
    <w:rsid w:val="54927B1C"/>
    <w:rsid w:val="54DB67C4"/>
    <w:rsid w:val="54DD1CC8"/>
    <w:rsid w:val="54F43DED"/>
    <w:rsid w:val="551256A6"/>
    <w:rsid w:val="551A792E"/>
    <w:rsid w:val="5536145D"/>
    <w:rsid w:val="553D17FD"/>
    <w:rsid w:val="556D4434"/>
    <w:rsid w:val="558535C9"/>
    <w:rsid w:val="559C59C0"/>
    <w:rsid w:val="55AB141B"/>
    <w:rsid w:val="55AB5B98"/>
    <w:rsid w:val="55C022BA"/>
    <w:rsid w:val="55C909CB"/>
    <w:rsid w:val="560077F3"/>
    <w:rsid w:val="563F7711"/>
    <w:rsid w:val="565B37BE"/>
    <w:rsid w:val="567740E6"/>
    <w:rsid w:val="569B1267"/>
    <w:rsid w:val="56AC22C3"/>
    <w:rsid w:val="56AE1358"/>
    <w:rsid w:val="56FE3FDE"/>
    <w:rsid w:val="570065C5"/>
    <w:rsid w:val="576747DC"/>
    <w:rsid w:val="57AD4F45"/>
    <w:rsid w:val="57CD362C"/>
    <w:rsid w:val="57DE5EB8"/>
    <w:rsid w:val="57FB5468"/>
    <w:rsid w:val="57FE63ED"/>
    <w:rsid w:val="581B7F1B"/>
    <w:rsid w:val="58D21C48"/>
    <w:rsid w:val="58DB6CD4"/>
    <w:rsid w:val="58DE7C59"/>
    <w:rsid w:val="58E9186D"/>
    <w:rsid w:val="59284BD5"/>
    <w:rsid w:val="5983301A"/>
    <w:rsid w:val="59B5223B"/>
    <w:rsid w:val="59DE35A5"/>
    <w:rsid w:val="5A3E219F"/>
    <w:rsid w:val="5A432DA3"/>
    <w:rsid w:val="5A81068A"/>
    <w:rsid w:val="5A8A2BB3"/>
    <w:rsid w:val="5B214990"/>
    <w:rsid w:val="5B374935"/>
    <w:rsid w:val="5B9B0DD6"/>
    <w:rsid w:val="5BB91A9F"/>
    <w:rsid w:val="5BDD2E3C"/>
    <w:rsid w:val="5BDE1945"/>
    <w:rsid w:val="5C0F2FCD"/>
    <w:rsid w:val="5C2515A2"/>
    <w:rsid w:val="5C331ADD"/>
    <w:rsid w:val="5C372A61"/>
    <w:rsid w:val="5C57557A"/>
    <w:rsid w:val="5C8A0CC8"/>
    <w:rsid w:val="5CB163A0"/>
    <w:rsid w:val="5CD37BDA"/>
    <w:rsid w:val="5CF15194"/>
    <w:rsid w:val="5CFB5748"/>
    <w:rsid w:val="5D0C1038"/>
    <w:rsid w:val="5D762C66"/>
    <w:rsid w:val="5D9D04F4"/>
    <w:rsid w:val="5DDA56EA"/>
    <w:rsid w:val="5DDB040C"/>
    <w:rsid w:val="5DF908A5"/>
    <w:rsid w:val="5E1A7EF1"/>
    <w:rsid w:val="5E782489"/>
    <w:rsid w:val="5ED460FD"/>
    <w:rsid w:val="5EE475B9"/>
    <w:rsid w:val="5EFD2119"/>
    <w:rsid w:val="5F517BED"/>
    <w:rsid w:val="5FA7097C"/>
    <w:rsid w:val="600C64E1"/>
    <w:rsid w:val="600D76AB"/>
    <w:rsid w:val="6012002C"/>
    <w:rsid w:val="60725AC7"/>
    <w:rsid w:val="60837066"/>
    <w:rsid w:val="610253B6"/>
    <w:rsid w:val="612C0778"/>
    <w:rsid w:val="61414E9A"/>
    <w:rsid w:val="614800A8"/>
    <w:rsid w:val="619F2CB5"/>
    <w:rsid w:val="61E60EAB"/>
    <w:rsid w:val="62246792"/>
    <w:rsid w:val="62461D28"/>
    <w:rsid w:val="62D73DA9"/>
    <w:rsid w:val="62DB4C3B"/>
    <w:rsid w:val="62DB6836"/>
    <w:rsid w:val="633E6EDE"/>
    <w:rsid w:val="634642EB"/>
    <w:rsid w:val="639E23F7"/>
    <w:rsid w:val="639E361F"/>
    <w:rsid w:val="63C04B54"/>
    <w:rsid w:val="63C86E42"/>
    <w:rsid w:val="640E2396"/>
    <w:rsid w:val="641A7B46"/>
    <w:rsid w:val="64451C8F"/>
    <w:rsid w:val="646666C9"/>
    <w:rsid w:val="64A66A83"/>
    <w:rsid w:val="64C909A4"/>
    <w:rsid w:val="64C96D9E"/>
    <w:rsid w:val="65171FE8"/>
    <w:rsid w:val="65550A19"/>
    <w:rsid w:val="657171FE"/>
    <w:rsid w:val="65891022"/>
    <w:rsid w:val="65E43CBA"/>
    <w:rsid w:val="65F364D3"/>
    <w:rsid w:val="66157D8E"/>
    <w:rsid w:val="66325FB7"/>
    <w:rsid w:val="664839DE"/>
    <w:rsid w:val="66C37AA5"/>
    <w:rsid w:val="66F332D5"/>
    <w:rsid w:val="6709601B"/>
    <w:rsid w:val="670B371C"/>
    <w:rsid w:val="67166A67"/>
    <w:rsid w:val="674001A7"/>
    <w:rsid w:val="67514DA2"/>
    <w:rsid w:val="67617776"/>
    <w:rsid w:val="677478C8"/>
    <w:rsid w:val="67B12224"/>
    <w:rsid w:val="67ED628D"/>
    <w:rsid w:val="67F4369A"/>
    <w:rsid w:val="67FA55A3"/>
    <w:rsid w:val="67FB68A8"/>
    <w:rsid w:val="681151C8"/>
    <w:rsid w:val="684845BC"/>
    <w:rsid w:val="68665F57"/>
    <w:rsid w:val="687E7D7B"/>
    <w:rsid w:val="68FA628B"/>
    <w:rsid w:val="693130A1"/>
    <w:rsid w:val="6971772B"/>
    <w:rsid w:val="69790F04"/>
    <w:rsid w:val="69D07728"/>
    <w:rsid w:val="69FF6F72"/>
    <w:rsid w:val="6A810C31"/>
    <w:rsid w:val="6A906493"/>
    <w:rsid w:val="6B090729"/>
    <w:rsid w:val="6B0F11E2"/>
    <w:rsid w:val="6B83449C"/>
    <w:rsid w:val="6BF07722"/>
    <w:rsid w:val="6C0210B1"/>
    <w:rsid w:val="6C38059F"/>
    <w:rsid w:val="6C496EB7"/>
    <w:rsid w:val="6C4F2509"/>
    <w:rsid w:val="6C8947F6"/>
    <w:rsid w:val="6CF3643A"/>
    <w:rsid w:val="6D177168"/>
    <w:rsid w:val="6D9632D6"/>
    <w:rsid w:val="6DCA3B30"/>
    <w:rsid w:val="6DED1766"/>
    <w:rsid w:val="6DF139EF"/>
    <w:rsid w:val="6E2179B2"/>
    <w:rsid w:val="6E2E500F"/>
    <w:rsid w:val="6E3C2B6A"/>
    <w:rsid w:val="6E6E7F2A"/>
    <w:rsid w:val="6E725242"/>
    <w:rsid w:val="6E965EC4"/>
    <w:rsid w:val="6E980291"/>
    <w:rsid w:val="6E9C3E88"/>
    <w:rsid w:val="6EAF50A7"/>
    <w:rsid w:val="6EB65826"/>
    <w:rsid w:val="6EC61449"/>
    <w:rsid w:val="6ED177DA"/>
    <w:rsid w:val="6F077CB4"/>
    <w:rsid w:val="6F410D93"/>
    <w:rsid w:val="6F481985"/>
    <w:rsid w:val="6F4A74A4"/>
    <w:rsid w:val="6F4B27F6"/>
    <w:rsid w:val="6F6A1F57"/>
    <w:rsid w:val="6F6F2646"/>
    <w:rsid w:val="6F973D20"/>
    <w:rsid w:val="6FA01442"/>
    <w:rsid w:val="6FB57FD8"/>
    <w:rsid w:val="6FCE4BE4"/>
    <w:rsid w:val="6FD04AFC"/>
    <w:rsid w:val="6FD47408"/>
    <w:rsid w:val="6FD8258B"/>
    <w:rsid w:val="6FEA15AC"/>
    <w:rsid w:val="6FF30BB6"/>
    <w:rsid w:val="700529B7"/>
    <w:rsid w:val="70065659"/>
    <w:rsid w:val="70113072"/>
    <w:rsid w:val="70173375"/>
    <w:rsid w:val="70335223"/>
    <w:rsid w:val="70676382"/>
    <w:rsid w:val="709848AF"/>
    <w:rsid w:val="70FA71EB"/>
    <w:rsid w:val="71A74D85"/>
    <w:rsid w:val="71B43E9D"/>
    <w:rsid w:val="71C80B3D"/>
    <w:rsid w:val="71CD585B"/>
    <w:rsid w:val="71F21D23"/>
    <w:rsid w:val="72201DDC"/>
    <w:rsid w:val="72401A80"/>
    <w:rsid w:val="7251199A"/>
    <w:rsid w:val="7254291F"/>
    <w:rsid w:val="7273283E"/>
    <w:rsid w:val="729E5448"/>
    <w:rsid w:val="72C46456"/>
    <w:rsid w:val="72CC5B95"/>
    <w:rsid w:val="73763CFB"/>
    <w:rsid w:val="737F6B89"/>
    <w:rsid w:val="739003CE"/>
    <w:rsid w:val="739A0A38"/>
    <w:rsid w:val="73C31BFC"/>
    <w:rsid w:val="73CD470A"/>
    <w:rsid w:val="73D37218"/>
    <w:rsid w:val="73F80DD1"/>
    <w:rsid w:val="7457466E"/>
    <w:rsid w:val="74584A6B"/>
    <w:rsid w:val="74694588"/>
    <w:rsid w:val="74C04F97"/>
    <w:rsid w:val="74D12A3C"/>
    <w:rsid w:val="74F91427"/>
    <w:rsid w:val="74FA76FB"/>
    <w:rsid w:val="75055A8C"/>
    <w:rsid w:val="750D5096"/>
    <w:rsid w:val="75360B0B"/>
    <w:rsid w:val="756305D3"/>
    <w:rsid w:val="75732515"/>
    <w:rsid w:val="7585185D"/>
    <w:rsid w:val="75E91581"/>
    <w:rsid w:val="75E95CFE"/>
    <w:rsid w:val="767671A5"/>
    <w:rsid w:val="77082E44"/>
    <w:rsid w:val="77417E26"/>
    <w:rsid w:val="77673652"/>
    <w:rsid w:val="77740D08"/>
    <w:rsid w:val="7776420B"/>
    <w:rsid w:val="778D7463"/>
    <w:rsid w:val="77AE116C"/>
    <w:rsid w:val="77C34F1B"/>
    <w:rsid w:val="77E757C4"/>
    <w:rsid w:val="78131B3E"/>
    <w:rsid w:val="78292A5A"/>
    <w:rsid w:val="784A5BBA"/>
    <w:rsid w:val="78933283"/>
    <w:rsid w:val="7898044F"/>
    <w:rsid w:val="78B94CF7"/>
    <w:rsid w:val="790E68AB"/>
    <w:rsid w:val="79990A0D"/>
    <w:rsid w:val="79AE5130"/>
    <w:rsid w:val="79D704F2"/>
    <w:rsid w:val="79E7658E"/>
    <w:rsid w:val="79F57AA2"/>
    <w:rsid w:val="79F964A8"/>
    <w:rsid w:val="7A610456"/>
    <w:rsid w:val="7A6300D6"/>
    <w:rsid w:val="7AAD2AD4"/>
    <w:rsid w:val="7AC9440C"/>
    <w:rsid w:val="7B186900"/>
    <w:rsid w:val="7B322432"/>
    <w:rsid w:val="7B3B2338"/>
    <w:rsid w:val="7BA051AE"/>
    <w:rsid w:val="7BCD512A"/>
    <w:rsid w:val="7BF42DEB"/>
    <w:rsid w:val="7C0F7FDD"/>
    <w:rsid w:val="7C425878"/>
    <w:rsid w:val="7C6832AE"/>
    <w:rsid w:val="7CA4518D"/>
    <w:rsid w:val="7CC940C8"/>
    <w:rsid w:val="7D1379BF"/>
    <w:rsid w:val="7D291B63"/>
    <w:rsid w:val="7D7265C6"/>
    <w:rsid w:val="7DB2638E"/>
    <w:rsid w:val="7DBF35DA"/>
    <w:rsid w:val="7DC62CE6"/>
    <w:rsid w:val="7DD86484"/>
    <w:rsid w:val="7DF30332"/>
    <w:rsid w:val="7E7B17D5"/>
    <w:rsid w:val="7EBE16E3"/>
    <w:rsid w:val="7F562CC5"/>
    <w:rsid w:val="7F5A30FD"/>
    <w:rsid w:val="7F751728"/>
    <w:rsid w:val="7F82169C"/>
    <w:rsid w:val="7F8E4580"/>
    <w:rsid w:val="7FB01053"/>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2025-02-10T05:52:06Z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66B70D4CEADE4E458839D430AAB3E757</vt:lpwstr>
  </property>
</Properties>
</file>