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w:t>
      </w:r>
      <w:r>
        <w:rPr>
          <w:rFonts w:hint="eastAsia" w:ascii="宋体" w:hAnsi="宋体" w:cs="宋体"/>
          <w:b/>
          <w:sz w:val="36"/>
          <w:lang w:eastAsia="zh-CN"/>
        </w:rPr>
        <w:t>智享三个月</w:t>
      </w:r>
      <w:r>
        <w:rPr>
          <w:rFonts w:hint="eastAsia" w:ascii="宋体" w:hAnsi="宋体" w:cs="宋体"/>
          <w:b/>
          <w:sz w:val="36"/>
          <w:lang w:val="en-US" w:eastAsia="zh-CN"/>
        </w:rPr>
        <w:t>A款</w:t>
      </w:r>
      <w:r>
        <w:rPr>
          <w:rFonts w:hint="eastAsia" w:ascii="宋体" w:hAnsi="宋体" w:eastAsia="宋体" w:cs="宋体"/>
          <w:b/>
          <w:sz w:val="36"/>
        </w:rPr>
        <w:t>净值型</w:t>
      </w:r>
      <w:r>
        <w:rPr>
          <w:rFonts w:hint="eastAsia" w:ascii="方正大标宋简体" w:hAnsi="宋体" w:eastAsia="方正大标宋简体"/>
          <w:b/>
          <w:sz w:val="36"/>
          <w:szCs w:val="36"/>
        </w:rPr>
        <w:t>人民币</w:t>
      </w:r>
      <w:r>
        <w:rPr>
          <w:rFonts w:hint="eastAsia" w:ascii="宋体" w:hAnsi="宋体" w:eastAsia="宋体" w:cs="宋体"/>
          <w:b/>
          <w:sz w:val="36"/>
        </w:rPr>
        <w:t>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常乐智享三个月A款</w:t>
            </w:r>
            <w:r>
              <w:rPr>
                <w:rFonts w:hint="eastAsia" w:ascii="宋体" w:hAnsi="宋体" w:eastAsia="宋体" w:cs="宋体"/>
                <w:sz w:val="24"/>
                <w:szCs w:val="24"/>
                <w:u w:val="none"/>
              </w:rPr>
              <w:t>-</w:t>
            </w:r>
            <w:r>
              <w:rPr>
                <w:rFonts w:hint="eastAsia" w:ascii="宋体" w:hAnsi="宋体" w:cs="宋体"/>
                <w:sz w:val="24"/>
                <w:szCs w:val="24"/>
                <w:u w:val="none"/>
                <w:lang w:val="en-US" w:eastAsia="zh-CN"/>
              </w:rPr>
              <w:t>254</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cs="宋体"/>
                <w:kern w:val="0"/>
                <w:sz w:val="24"/>
                <w:szCs w:val="24"/>
                <w:u w:val="none"/>
                <w:lang w:val="en-US" w:eastAsia="zh-CN"/>
              </w:rPr>
            </w:pPr>
            <w:r>
              <w:rPr>
                <w:rFonts w:hint="eastAsia" w:ascii="宋体" w:hAnsi="宋体" w:cs="宋体"/>
                <w:kern w:val="0"/>
                <w:sz w:val="24"/>
                <w:szCs w:val="24"/>
                <w:u w:val="none"/>
                <w:lang w:val="en-US" w:eastAsia="zh-CN"/>
              </w:rPr>
              <w:t>CLZXA3M254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06</w:t>
            </w:r>
            <w:r>
              <w:rPr>
                <w:rFonts w:hint="eastAsia"/>
                <w:color w:val="000000"/>
                <w:sz w:val="22"/>
                <w:szCs w:val="22"/>
                <w:u w:val="none"/>
              </w:rPr>
              <w:t>月</w:t>
            </w:r>
            <w:r>
              <w:rPr>
                <w:rFonts w:hint="eastAsia"/>
                <w:color w:val="000000"/>
                <w:sz w:val="22"/>
                <w:szCs w:val="22"/>
                <w:u w:val="none"/>
                <w:lang w:val="en-US" w:eastAsia="zh-CN"/>
              </w:rPr>
              <w:t>25</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07</w:t>
            </w:r>
            <w:r>
              <w:rPr>
                <w:rFonts w:hint="eastAsia"/>
                <w:color w:val="000000"/>
                <w:sz w:val="22"/>
                <w:szCs w:val="22"/>
                <w:u w:val="none"/>
              </w:rPr>
              <w:t>月</w:t>
            </w:r>
            <w:r>
              <w:rPr>
                <w:rFonts w:hint="eastAsia"/>
                <w:color w:val="000000"/>
                <w:sz w:val="22"/>
                <w:szCs w:val="22"/>
                <w:u w:val="none"/>
                <w:lang w:val="en-US" w:eastAsia="zh-CN"/>
              </w:rPr>
              <w:t>01</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07</w:t>
            </w:r>
            <w:r>
              <w:rPr>
                <w:rFonts w:hint="eastAsia"/>
                <w:color w:val="000000"/>
                <w:sz w:val="22"/>
                <w:szCs w:val="22"/>
                <w:u w:val="none"/>
              </w:rPr>
              <w:t>月</w:t>
            </w:r>
            <w:r>
              <w:rPr>
                <w:rFonts w:hint="eastAsia"/>
                <w:color w:val="000000"/>
                <w:sz w:val="22"/>
                <w:szCs w:val="22"/>
                <w:u w:val="none"/>
                <w:lang w:val="en-US" w:eastAsia="zh-CN"/>
              </w:rPr>
              <w:t>02日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10</w:t>
            </w:r>
            <w:r>
              <w:rPr>
                <w:rFonts w:hint="eastAsia"/>
                <w:color w:val="000000"/>
                <w:sz w:val="22"/>
                <w:szCs w:val="22"/>
                <w:u w:val="none"/>
              </w:rPr>
              <w:t>月</w:t>
            </w:r>
            <w:r>
              <w:rPr>
                <w:rFonts w:hint="eastAsia"/>
                <w:color w:val="000000"/>
                <w:sz w:val="22"/>
                <w:szCs w:val="22"/>
                <w:u w:val="none"/>
                <w:lang w:val="en-US" w:eastAsia="zh-CN"/>
              </w:rPr>
              <w:t>10</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52" w:hRule="atLeast"/>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100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kern w:val="0"/>
                <w:sz w:val="24"/>
                <w:szCs w:val="24"/>
                <w:lang w:eastAsia="zh-CN"/>
              </w:rPr>
            </w:pPr>
            <w:r>
              <w:rPr>
                <w:rFonts w:ascii="宋体" w:hAnsi="宋体" w:cs="宋体"/>
                <w:color w:val="auto"/>
                <w:kern w:val="0"/>
                <w:sz w:val="24"/>
                <w:szCs w:val="24"/>
                <w:u w:val="none"/>
              </w:rPr>
              <w:t>人民银行一年期定期存款利率（1.50%）+</w:t>
            </w:r>
            <w:r>
              <w:rPr>
                <w:rFonts w:hint="eastAsia" w:ascii="宋体" w:hAnsi="宋体" w:cs="宋体"/>
                <w:color w:val="auto"/>
                <w:kern w:val="0"/>
                <w:sz w:val="24"/>
                <w:szCs w:val="24"/>
                <w:u w:val="none"/>
                <w:lang w:val="en-US" w:eastAsia="zh-CN"/>
              </w:rPr>
              <w:t>0</w:t>
            </w:r>
            <w:r>
              <w:rPr>
                <w:rFonts w:ascii="宋体" w:hAnsi="宋体" w:cs="宋体"/>
                <w:color w:val="auto"/>
                <w:kern w:val="0"/>
                <w:sz w:val="24"/>
                <w:szCs w:val="24"/>
                <w:u w:val="none"/>
              </w:rPr>
              <w:t>.</w:t>
            </w:r>
            <w:r>
              <w:rPr>
                <w:rFonts w:hint="eastAsia" w:ascii="宋体" w:hAnsi="宋体" w:cs="宋体"/>
                <w:color w:val="auto"/>
                <w:kern w:val="0"/>
                <w:sz w:val="24"/>
                <w:szCs w:val="24"/>
                <w:u w:val="none"/>
                <w:lang w:val="en-US" w:eastAsia="zh-CN"/>
              </w:rPr>
              <w:t>55</w:t>
            </w:r>
            <w:r>
              <w:rPr>
                <w:rFonts w:ascii="宋体" w:hAnsi="宋体" w:cs="宋体"/>
                <w:color w:val="auto"/>
                <w:kern w:val="0"/>
                <w:sz w:val="24"/>
                <w:szCs w:val="24"/>
                <w:u w:val="none"/>
              </w:rPr>
              <w:t>%,</w:t>
            </w:r>
            <w:r>
              <w:rPr>
                <w:rFonts w:hint="eastAsia" w:ascii="宋体" w:hAnsi="宋体" w:cs="宋体"/>
                <w:color w:val="auto"/>
                <w:kern w:val="0"/>
                <w:sz w:val="24"/>
                <w:szCs w:val="24"/>
                <w:u w:val="none"/>
              </w:rPr>
              <w:t>即</w:t>
            </w:r>
            <w:r>
              <w:rPr>
                <w:rFonts w:ascii="宋体" w:hAnsi="宋体" w:cs="宋体"/>
                <w:color w:val="auto"/>
                <w:kern w:val="0"/>
                <w:sz w:val="24"/>
                <w:szCs w:val="24"/>
                <w:u w:val="none"/>
              </w:rPr>
              <w:fldChar w:fldCharType="begin"/>
            </w:r>
            <w:r>
              <w:rPr>
                <w:rFonts w:ascii="宋体" w:hAnsi="宋体" w:cs="宋体"/>
                <w:color w:val="auto"/>
                <w:kern w:val="0"/>
                <w:sz w:val="24"/>
                <w:szCs w:val="24"/>
                <w:u w:val="none"/>
              </w:rPr>
              <w:instrText xml:space="preserve">  DOCVARIABLE Sherry</w:instrText>
            </w:r>
            <w:r>
              <w:rPr>
                <w:rFonts w:hint="eastAsia" w:ascii="宋体" w:hAnsi="宋体" w:cs="宋体"/>
                <w:color w:val="auto"/>
                <w:kern w:val="0"/>
                <w:sz w:val="24"/>
                <w:szCs w:val="24"/>
                <w:u w:val="none"/>
              </w:rPr>
              <w:instrText xml:space="preserve">8</w:instrText>
            </w:r>
            <w:r>
              <w:rPr>
                <w:rFonts w:ascii="宋体" w:hAnsi="宋体" w:cs="宋体"/>
                <w:color w:val="auto"/>
                <w:kern w:val="0"/>
                <w:sz w:val="24"/>
                <w:szCs w:val="24"/>
                <w:u w:val="none"/>
              </w:rPr>
              <w:fldChar w:fldCharType="separate"/>
            </w:r>
            <w:r>
              <w:rPr>
                <w:rFonts w:hint="eastAsia" w:ascii="宋体" w:hAnsi="宋体" w:cs="宋体"/>
                <w:color w:val="auto"/>
                <w:kern w:val="0"/>
                <w:sz w:val="24"/>
                <w:szCs w:val="24"/>
                <w:u w:val="none"/>
                <w:lang w:val="en-US" w:eastAsia="zh-CN"/>
              </w:rPr>
              <w:t>2</w:t>
            </w:r>
            <w:r>
              <w:rPr>
                <w:rFonts w:hint="eastAsia" w:ascii="宋体" w:hAnsi="宋体" w:cs="宋体"/>
                <w:color w:val="auto"/>
                <w:kern w:val="0"/>
                <w:sz w:val="24"/>
                <w:szCs w:val="24"/>
                <w:u w:val="none"/>
              </w:rPr>
              <w:t>.</w:t>
            </w:r>
            <w:r>
              <w:rPr>
                <w:rFonts w:hint="eastAsia" w:ascii="宋体" w:hAnsi="宋体" w:cs="宋体"/>
                <w:color w:val="auto"/>
                <w:kern w:val="0"/>
                <w:sz w:val="24"/>
                <w:szCs w:val="24"/>
                <w:u w:val="none"/>
                <w:lang w:val="en-US" w:eastAsia="zh-CN"/>
              </w:rPr>
              <w:t>05</w:t>
            </w:r>
            <w:r>
              <w:rPr>
                <w:rFonts w:ascii="宋体" w:hAnsi="宋体" w:cs="宋体"/>
                <w:color w:val="auto"/>
                <w:kern w:val="0"/>
                <w:sz w:val="24"/>
                <w:szCs w:val="24"/>
                <w:u w:val="none"/>
              </w:rPr>
              <w:t>%</w:t>
            </w:r>
            <w:r>
              <w:rPr>
                <w:rFonts w:ascii="宋体" w:hAnsi="宋体" w:cs="宋体"/>
                <w:color w:val="auto"/>
                <w:kern w:val="0"/>
                <w:sz w:val="24"/>
                <w:szCs w:val="24"/>
                <w:u w:val="none"/>
              </w:rPr>
              <w:fldChar w:fldCharType="end"/>
            </w:r>
            <w:r>
              <w:rPr>
                <w:rFonts w:hint="eastAsia" w:ascii="宋体" w:hAnsi="宋体" w:cs="宋体"/>
                <w:color w:val="auto"/>
                <w:kern w:val="0"/>
                <w:sz w:val="24"/>
                <w:szCs w:val="24"/>
                <w:lang w:eastAsia="zh-CN"/>
              </w:rPr>
              <w:t>。</w:t>
            </w:r>
            <w:bookmarkStart w:id="8" w:name="_GoBack"/>
            <w:bookmarkEnd w:id="8"/>
          </w:p>
        </w:tc>
      </w:tr>
    </w:tbl>
    <w:p>
      <w:pPr>
        <w:jc w:val="center"/>
        <w:rPr>
          <w:rFonts w:ascii="宋体" w:hAnsi="宋体" w:eastAsia="宋体" w:cs="宋体"/>
          <w:b/>
        </w:rPr>
      </w:pPr>
    </w:p>
    <w:p>
      <w:pPr>
        <w:jc w:val="left"/>
        <w:rPr>
          <w:rFonts w:ascii="宋体" w:hAnsi="宋体" w:eastAsia="宋体" w:cs="宋体"/>
          <w:b/>
          <w:bCs/>
          <w:kern w:val="0"/>
          <w:sz w:val="15"/>
          <w:szCs w:val="15"/>
        </w:rPr>
      </w:pPr>
      <w:r>
        <w:rPr>
          <w:rFonts w:hint="eastAsia" w:ascii="宋体" w:hAnsi="宋体" w:eastAsia="宋体" w:cs="宋体"/>
          <w:b/>
          <w:bCs/>
          <w:kern w:val="0"/>
          <w:sz w:val="15"/>
          <w:szCs w:val="15"/>
        </w:rPr>
        <w:t>特别提示：</w:t>
      </w:r>
    </w:p>
    <w:p>
      <w:pPr>
        <w:ind w:firstLine="300" w:firstLineChars="200"/>
        <w:jc w:val="left"/>
        <w:rPr>
          <w:rFonts w:ascii="宋体" w:hAnsi="宋体" w:eastAsia="宋体" w:cs="宋体"/>
          <w:kern w:val="0"/>
          <w:sz w:val="15"/>
          <w:szCs w:val="15"/>
        </w:rPr>
      </w:pPr>
      <w:r>
        <w:rPr>
          <w:rFonts w:hint="eastAsia" w:ascii="宋体" w:hAnsi="宋体" w:eastAsia="宋体" w:cs="宋体"/>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kern w:val="0"/>
          <w:sz w:val="15"/>
          <w:szCs w:val="15"/>
        </w:rPr>
      </w:pPr>
      <w:r>
        <w:rPr>
          <w:rFonts w:hint="eastAsia" w:ascii="宋体" w:hAnsi="宋体" w:eastAsia="宋体" w:cs="宋体"/>
          <w:b/>
          <w:bCs/>
          <w:kern w:val="0"/>
          <w:sz w:val="15"/>
          <w:szCs w:val="15"/>
        </w:rPr>
        <w:t>2. 本要素表中公告的业绩比较基准仅代表当期投资周期，不同投资周期的业绩比较基准可能会发生调整，特提醒投资者关注。</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color w:val="auto"/>
          <w:kern w:val="0"/>
          <w:sz w:val="15"/>
          <w:szCs w:val="15"/>
        </w:rPr>
        <w:t>3</w:t>
      </w:r>
      <w:r>
        <w:rPr>
          <w:rFonts w:ascii="宋体" w:hAnsi="宋体" w:cs="宋体"/>
          <w:b/>
          <w:bCs/>
          <w:color w:val="auto"/>
          <w:kern w:val="0"/>
          <w:sz w:val="15"/>
          <w:szCs w:val="15"/>
        </w:rPr>
        <w:t>.</w:t>
      </w:r>
      <w:r>
        <w:rPr>
          <w:rFonts w:hint="eastAsia" w:ascii="宋体" w:hAnsi="宋体" w:cs="宋体"/>
          <w:b/>
          <w:bCs/>
          <w:color w:val="auto"/>
          <w:kern w:val="0"/>
          <w:sz w:val="15"/>
          <w:szCs w:val="15"/>
        </w:rPr>
        <w:t xml:space="preserve"> 业绩比较基准</w:t>
      </w:r>
      <w:r>
        <w:rPr>
          <w:rFonts w:hint="eastAsia" w:ascii="宋体" w:hAnsi="宋体" w:eastAsia="宋体" w:cs="宋体"/>
          <w:b/>
          <w:bCs/>
          <w:sz w:val="15"/>
          <w:szCs w:val="15"/>
          <w:lang w:eastAsia="zh-CN"/>
        </w:rPr>
        <w:t>由产品管理人依据理财产品的投资范围及比例、投资策略，并综合考量市场环境等因素测算</w:t>
      </w:r>
      <w:r>
        <w:rPr>
          <w:rFonts w:hint="eastAsia" w:ascii="宋体" w:hAnsi="宋体" w:cs="宋体"/>
          <w:b/>
          <w:bCs/>
          <w:sz w:val="15"/>
          <w:szCs w:val="15"/>
          <w:lang w:eastAsia="zh-CN"/>
        </w:rPr>
        <w:t>，</w:t>
      </w:r>
      <w:r>
        <w:rPr>
          <w:rFonts w:hint="eastAsia" w:ascii="宋体" w:hAnsi="宋体" w:cs="宋体"/>
          <w:b/>
          <w:bCs/>
          <w:color w:val="auto"/>
          <w:kern w:val="0"/>
          <w:sz w:val="15"/>
          <w:szCs w:val="15"/>
        </w:rPr>
        <w:t>仅供投资者参考，具体测算依据详见产品说明书中第一部分产品基本要素中有关业绩比较基准的说明。</w:t>
      </w:r>
      <w:r>
        <w:rPr>
          <w:rFonts w:hint="eastAsia" w:ascii="宋体" w:hAnsi="宋体" w:cs="宋体"/>
          <w:b/>
          <w:bCs/>
          <w:color w:val="auto"/>
          <w:kern w:val="0"/>
          <w:sz w:val="15"/>
          <w:szCs w:val="15"/>
          <w:lang w:val="en-US" w:eastAsia="zh-CN"/>
        </w:rPr>
        <w:t>本产品</w:t>
      </w:r>
      <w:r>
        <w:rPr>
          <w:rFonts w:hint="eastAsia" w:ascii="宋体" w:hAnsi="宋体" w:cs="宋体"/>
          <w:b/>
          <w:bCs/>
          <w:color w:val="auto"/>
          <w:kern w:val="0"/>
          <w:sz w:val="15"/>
          <w:szCs w:val="15"/>
        </w:rPr>
        <w:t>业绩比较基准</w:t>
      </w:r>
      <w:r>
        <w:rPr>
          <w:rFonts w:hint="eastAsia" w:ascii="宋体" w:hAnsi="宋体" w:eastAsia="宋体" w:cs="宋体"/>
          <w:b/>
          <w:bCs/>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auto"/>
          <w:kern w:val="0"/>
          <w:sz w:val="15"/>
          <w:szCs w:val="15"/>
        </w:rPr>
        <w:t>，不构成</w:t>
      </w:r>
      <w:r>
        <w:rPr>
          <w:rFonts w:hint="eastAsia" w:ascii="宋体" w:hAnsi="宋体" w:cs="宋体"/>
          <w:b/>
          <w:bCs/>
          <w:color w:val="auto"/>
          <w:kern w:val="0"/>
          <w:sz w:val="15"/>
          <w:szCs w:val="15"/>
          <w:lang w:val="en-US" w:eastAsia="zh-CN"/>
        </w:rPr>
        <w:t>常熟农商银行</w:t>
      </w:r>
      <w:r>
        <w:rPr>
          <w:rFonts w:hint="eastAsia" w:ascii="宋体" w:hAnsi="宋体" w:cs="宋体"/>
          <w:b/>
          <w:bCs/>
          <w:color w:val="auto"/>
          <w:kern w:val="0"/>
          <w:sz w:val="15"/>
          <w:szCs w:val="15"/>
        </w:rPr>
        <w:t>对</w:t>
      </w:r>
      <w:r>
        <w:rPr>
          <w:rFonts w:hint="eastAsia" w:ascii="宋体" w:hAnsi="宋体" w:cs="宋体"/>
          <w:b/>
          <w:bCs/>
          <w:color w:val="auto"/>
          <w:kern w:val="0"/>
          <w:sz w:val="15"/>
          <w:szCs w:val="15"/>
          <w:lang w:val="en-US" w:eastAsia="zh-CN"/>
        </w:rPr>
        <w:t>本理财</w:t>
      </w:r>
      <w:r>
        <w:rPr>
          <w:rFonts w:hint="eastAsia" w:ascii="宋体" w:hAnsi="宋体" w:cs="宋体"/>
          <w:b/>
          <w:bCs/>
          <w:color w:val="auto"/>
          <w:kern w:val="0"/>
          <w:sz w:val="15"/>
          <w:szCs w:val="15"/>
        </w:rPr>
        <w:t>产品</w:t>
      </w:r>
      <w:r>
        <w:rPr>
          <w:rFonts w:hint="eastAsia" w:ascii="宋体" w:hAnsi="宋体" w:cs="宋体"/>
          <w:b/>
          <w:bCs/>
          <w:color w:val="auto"/>
          <w:kern w:val="0"/>
          <w:sz w:val="15"/>
          <w:szCs w:val="15"/>
          <w:lang w:val="en-US" w:eastAsia="zh-CN"/>
        </w:rPr>
        <w:t>投资收益</w:t>
      </w:r>
      <w:r>
        <w:rPr>
          <w:rFonts w:hint="eastAsia" w:ascii="宋体" w:hAnsi="宋体" w:cs="宋体"/>
          <w:b/>
          <w:bCs/>
          <w:color w:val="auto"/>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Lines="50" w:line="480" w:lineRule="exact"/>
        <w:rPr>
          <w:rFonts w:ascii="方正大标宋简体" w:hAnsi="宋体" w:eastAsia="方正大标宋简体"/>
          <w:b/>
          <w:sz w:val="36"/>
        </w:rPr>
      </w:pPr>
    </w:p>
    <w:p>
      <w:pPr>
        <w:snapToGrid w:val="0"/>
        <w:spacing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sz w:val="36"/>
        </w:rPr>
      </w:pPr>
    </w:p>
    <w:p>
      <w:pPr>
        <w:snapToGrid w:val="0"/>
        <w:spacing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三个月A款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三个月A款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ascii="TimesNewRomanPSMT" w:hAnsi="Times New Roman" w:eastAsia="TimesNewRomanPSMT" w:cs="TimesNewRomanPSMT"/>
                <w:kern w:val="0"/>
                <w:szCs w:val="21"/>
                <w:u w:val="single"/>
              </w:rPr>
            </w:pPr>
            <w:r>
              <w:rPr>
                <w:rFonts w:ascii="TimesNewRomanPSMT" w:hAnsi="Times New Roman" w:eastAsia="TimesNewRomanPSMT" w:cs="TimesNewRomanPSMT"/>
                <w:kern w:val="0"/>
                <w:szCs w:val="21"/>
                <w:u w:val="single"/>
              </w:rPr>
              <w:t>C</w:t>
            </w:r>
            <w:r>
              <w:rPr>
                <w:rFonts w:hint="eastAsia" w:ascii="TimesNewRomanPSMT" w:hAnsi="Times New Roman" w:eastAsia="TimesNewRomanPSMT" w:cs="TimesNewRomanPSMT"/>
                <w:kern w:val="0"/>
                <w:szCs w:val="21"/>
                <w:u w:val="single"/>
              </w:rPr>
              <w:t>1115421000004</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w:t>
            </w:r>
            <w:r>
              <w:rPr>
                <w:rFonts w:hint="eastAsia" w:eastAsia="楷体_GB2312"/>
              </w:rPr>
              <w:t>A3</w:t>
            </w:r>
            <w:r>
              <w:rPr>
                <w:rFonts w:eastAsia="楷体_GB2312"/>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beforeLines="0" w:afterLines="0" w:line="360" w:lineRule="exact"/>
              <w:rPr>
                <w:rFonts w:eastAsia="楷体_GB2312"/>
              </w:rPr>
            </w:pPr>
            <w:r>
              <w:rPr>
                <w:rFonts w:hint="eastAsia" w:eastAsia="楷体_GB2312"/>
              </w:rPr>
              <w:t>认购期及开放期内业绩比较基准详见常熟农商银行发布的公告。</w:t>
            </w:r>
          </w:p>
          <w:p>
            <w:pPr>
              <w:spacing w:beforeLines="0" w:afterLines="0" w:line="360" w:lineRule="exact"/>
              <w:rPr>
                <w:rFonts w:hint="eastAsia" w:ascii="Times New Roman" w:hAnsi="Times New Roman" w:eastAsia="楷体_GB2312"/>
                <w:b w:val="0"/>
                <w:bCs w:val="0"/>
                <w:color w:val="auto"/>
              </w:rPr>
            </w:pPr>
            <w:r>
              <w:rPr>
                <w:rFonts w:ascii="Times New Roman" w:hAnsi="Times New Roman" w:eastAsia="楷体_GB2312"/>
                <w:b/>
                <w:bCs/>
                <w:color w:val="auto"/>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0-20%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2021年1月27日</w:t>
            </w:r>
            <w:r>
              <w:rPr>
                <w:rFonts w:hint="eastAsia" w:eastAsia="楷体_GB2312"/>
                <w:b/>
                <w:u w:val="single"/>
              </w:rPr>
              <w:t>8:30至</w:t>
            </w:r>
            <w:r>
              <w:rPr>
                <w:rFonts w:hint="eastAsia" w:eastAsia="楷体_GB2312"/>
                <w:b/>
                <w:szCs w:val="21"/>
                <w:u w:val="single"/>
              </w:rPr>
              <w:t>2021年2月2日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21年2月3日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41年2月3日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21年2月3日起投资者可提出申购申请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0.5%/</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0.5</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例：假设赎回本产品100,000份产品份额，持有时间为91天，假设赎回日前一自然日产品单位净值是1.03元，则赎回金额为：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21年2月3日起开放申购，正常情况下每周开放，具体发行安排详见常熟农商银行官网公告：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常乐智享三个月A款-1期</w:t>
            </w:r>
          </w:p>
        </w:tc>
        <w:tc>
          <w:tcPr>
            <w:tcW w:w="1320"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27</w:t>
            </w:r>
          </w:p>
        </w:tc>
        <w:tc>
          <w:tcPr>
            <w:tcW w:w="1297"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w:t>
            </w:r>
            <w:r>
              <w:rPr>
                <w:rFonts w:hint="eastAsia" w:eastAsia="楷体_GB2312"/>
              </w:rPr>
              <w:t>02</w:t>
            </w:r>
          </w:p>
        </w:tc>
        <w:tc>
          <w:tcPr>
            <w:tcW w:w="1298"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w:t>
            </w:r>
            <w:r>
              <w:rPr>
                <w:rFonts w:hint="eastAsia" w:eastAsia="楷体_GB2312"/>
              </w:rPr>
              <w:t>03</w:t>
            </w:r>
          </w:p>
        </w:tc>
        <w:tc>
          <w:tcPr>
            <w:tcW w:w="1890" w:type="dxa"/>
            <w:vAlign w:val="center"/>
          </w:tcPr>
          <w:p>
            <w:pPr>
              <w:spacing w:line="360" w:lineRule="exact"/>
              <w:jc w:val="center"/>
              <w:rPr>
                <w:rFonts w:eastAsia="楷体_GB2312"/>
              </w:rPr>
            </w:pPr>
            <w:r>
              <w:rPr>
                <w:rFonts w:hint="eastAsia" w:eastAsia="楷体_GB2312"/>
              </w:rPr>
              <w:t>93</w:t>
            </w:r>
          </w:p>
        </w:tc>
        <w:tc>
          <w:tcPr>
            <w:tcW w:w="1365" w:type="dxa"/>
            <w:vAlign w:val="center"/>
          </w:tcPr>
          <w:p>
            <w:pPr>
              <w:spacing w:line="360" w:lineRule="exact"/>
              <w:jc w:val="center"/>
              <w:rPr>
                <w:rFonts w:eastAsia="楷体_GB2312"/>
              </w:rPr>
            </w:pPr>
            <w:r>
              <w:rPr>
                <w:rFonts w:eastAsia="楷体_GB2312"/>
              </w:rPr>
              <w:t>20</w:t>
            </w:r>
            <w:r>
              <w:rPr>
                <w:rFonts w:hint="eastAsia" w:eastAsia="楷体_GB2312"/>
              </w:rPr>
              <w:t>2</w:t>
            </w:r>
            <w:r>
              <w:rPr>
                <w:rFonts w:eastAsia="楷体_GB2312"/>
              </w:rPr>
              <w:t>1/</w:t>
            </w:r>
            <w:r>
              <w:rPr>
                <w:rFonts w:hint="eastAsia" w:eastAsia="楷体_GB2312"/>
              </w:rPr>
              <w:t>05</w:t>
            </w:r>
            <w:r>
              <w:rPr>
                <w:rFonts w:eastAsia="楷体_GB2312"/>
              </w:rPr>
              <w:t>/</w:t>
            </w:r>
            <w:r>
              <w:rPr>
                <w:rFonts w:hint="eastAsia" w:eastAsia="楷体_GB2312"/>
              </w:rPr>
              <w:t>07</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万元，公布的91天业绩比较基准为</w:t>
      </w:r>
      <w:r>
        <w:rPr>
          <w:rFonts w:eastAsia="楷体_GB2312"/>
        </w:rPr>
        <w:t>4.50%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份额运作满91天自动赎回退出，根据赎回退出日的产品单位净值计算有以下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：假设赎回退出时产品单位净值为1.01625747，</w:t>
      </w:r>
      <w:r>
        <w:rPr>
          <w:rFonts w:hint="eastAsia" w:eastAsia="楷体_GB2312"/>
          <w:lang w:eastAsia="zh-CN"/>
        </w:rPr>
        <w:t>投资者</w:t>
      </w:r>
      <w:r>
        <w:rPr>
          <w:rFonts w:hint="eastAsia" w:eastAsia="楷体_GB2312"/>
        </w:rPr>
        <w:t>份额持有期间净值增长率为</w:t>
      </w:r>
      <w:r>
        <w:rPr>
          <w:rFonts w:eastAsia="楷体_GB2312"/>
        </w:rPr>
        <w:t>6.38%</w:t>
      </w:r>
      <w:r>
        <w:rPr>
          <w:rFonts w:hint="eastAsia" w:eastAsia="楷体_GB2312"/>
        </w:rPr>
        <w:t>（大于业绩比较基准</w:t>
      </w:r>
      <w:r>
        <w:rPr>
          <w:rFonts w:eastAsia="楷体_GB2312"/>
        </w:rPr>
        <w:t>4.50%</w:t>
      </w:r>
      <w:r>
        <w:rPr>
          <w:rFonts w:hint="eastAsia" w:eastAsia="楷体_GB2312"/>
        </w:rPr>
        <w:t>），则常熟农商银行收取</w:t>
      </w:r>
      <w:r>
        <w:rPr>
          <w:rFonts w:eastAsia="楷体_GB2312"/>
        </w:rPr>
        <w:t>1.5%</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4.88%</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：假设赎回退出时产品单位净值为1.00835145，</w:t>
      </w:r>
      <w:r>
        <w:rPr>
          <w:rFonts w:hint="eastAsia" w:eastAsia="楷体_GB2312"/>
          <w:lang w:eastAsia="zh-CN"/>
        </w:rPr>
        <w:t>投资者</w:t>
      </w:r>
      <w:r>
        <w:rPr>
          <w:rFonts w:hint="eastAsia" w:eastAsia="楷体_GB2312"/>
        </w:rPr>
        <w:t>份额持有期间净值增长率为</w:t>
      </w:r>
      <w:r>
        <w:rPr>
          <w:rFonts w:eastAsia="楷体_GB2312"/>
        </w:rPr>
        <w:t>3.21%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3.21%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情形3：假设赎回退出时产品净值为0.99999651，</w:t>
      </w:r>
      <w:r>
        <w:rPr>
          <w:rFonts w:hint="eastAsia" w:eastAsia="楷体_GB2312"/>
          <w:lang w:eastAsia="zh-CN"/>
        </w:rPr>
        <w:t>投资者</w:t>
      </w:r>
      <w:r>
        <w:rPr>
          <w:rFonts w:hint="eastAsia" w:eastAsia="楷体_GB2312"/>
        </w:rPr>
        <w:t>份额持有期限净值增长率</w:t>
      </w:r>
      <w:r>
        <w:rPr>
          <w:rFonts w:eastAsia="楷体_GB2312"/>
        </w:rPr>
        <w:t>-0.14%</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0.14%</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24442816"/>
      <w:bookmarkStart w:id="1" w:name="_Toc24442931"/>
      <w:bookmarkStart w:id="2" w:name="_Toc24442988"/>
      <w:bookmarkStart w:id="3" w:name="_Toc37147666"/>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0-20%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938"/>
      <w:bookmarkStart w:id="5" w:name="_Toc24442823"/>
      <w:bookmarkStart w:id="6" w:name="_Toc37147671"/>
      <w:bookmarkStart w:id="7" w:name="_Toc24442995"/>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w:t>
      </w:r>
      <w:r>
        <w:rPr>
          <w:rFonts w:hint="eastAsia" w:ascii="宋体" w:hAnsi="宋体"/>
          <w:sz w:val="18"/>
          <w:szCs w:val="18"/>
          <w:lang w:val="en-US" w:eastAsia="zh-CN"/>
        </w:rPr>
        <w:t xml:space="preserve"> </w:t>
      </w:r>
      <w:r>
        <w:rPr>
          <w:rFonts w:hint="eastAsia" w:ascii="宋体" w:hAnsi="宋体"/>
          <w:sz w:val="18"/>
          <w:szCs w:val="18"/>
        </w:rPr>
        <w:t>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64"/>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64"/>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59"/>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296"/>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69"/>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34"/>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hfc32rsAAADa&#10;AAAADwAAAGRycy9kb3ducmV2LnhtbEWPQWsCMRSE70L/Q3hCb5pYQey6WQ9CS6GHYvRgb4/Nc3dx&#10;87IkqW7/fVMQPA4z8w1TbkfXiyuF2HnWsJgrEMS1tx03Go6Ht9kaREzIFnvPpOGXImyrp0mJhfU3&#10;3tPVpEZkCMcCNbQpDYWUsW7JYZz7gTh7Zx8cpixDI23AW4a7Xr4otZIOO84LLQ60a6m+mB+nwcSe&#10;zfvxk+jVqPMyfA3jePrW+nm6UBsQicb0CN/bH1bDEv6v5Bsgq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fc32r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ZVIKNbsAAADa&#10;AAAADwAAAGRycy9kb3ducmV2LnhtbEWPQWsCMRSE74L/ITyhN020KO1q9FBoKfQgRg/t7bF57i5u&#10;XpYk6vbfG0HwOMzMN8xq07tWXCjExrOG6USBIC69bbjScNh/jt9AxIRssfVMGv4pwmY9HKywsP7K&#10;O7qYVIkM4VighjqlrpAyljU5jBPfEWfv6IPDlGWopA14zXDXyplSC+mw4bxQY0cfNZUnc3YaTGzZ&#10;fB1+iN6NOr6Gbdf3v39av4ymagkiUZ+e4Uf722qYw/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VIKN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Iq06oL0AAADa&#10;AAAADwAAAGRycy9kb3ducmV2LnhtbEWPzWrDMBCE74W8g9hAbo2cElrZsZxDoFB8CU1CS26Ltf4h&#10;1spYqp2+fVUo9DjMzDdMvr/bXkw0+s6xhs06AUFcOdNxo+Fyfn1UIHxANtg7Jg3f5GFfLB5yzIyb&#10;+Z2mU2hEhLDPUEMbwpBJ6auWLPq1G4ijV7vRYohybKQZcY5w28unJHmWFjuOCy0OdGipup2+rIar&#10;celHeqlL5VQ5HdWW1fn4qfVquUl2IALdw3/4r/1mNLzA75V4A2Tx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rTqgvQAA&#10;ANoAAAAPAAAAAAAAAAEAIAAAACIAAABkcnMvZG93bnJldi54bWxQSwECFAAUAAAACACHTuJAMy8F&#10;njsAAAA5AAAAEAAAAAAAAAABACAAAAAMAQAAZHJzL3NoYXBleG1sLnhtbFBLBQYAAAAABgAGAFsB&#10;AAC2AwAAAAA=&#10;" adj="16206,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bn7dLLsAAADa&#10;AAAADwAAAGRycy9kb3ducmV2LnhtbEWPQYvCMBSE78L+h/AWvMiaakG0axQRREEQrOL50TzbYvNS&#10;m2j13xtB8DjMzDfMdP4wlbhT40rLCgb9CARxZnXJuYLjYfU3BuE8ssbKMil4koP57KczxUTblvd0&#10;T30uAoRdggoK7+tESpcVZND1bU0cvLNtDPogm1zqBtsAN5UcRtFIGiw5LBRY07Kg7JLejILN7Rln&#10;cZqvL+cWT9fdohevtqRU93cQ/YPw9PDf8Ke90Qom8L4SboCcv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n7dLL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JuwvHbgAAADb&#10;AAAADwAAAGRycy9kb3ducmV2LnhtbEVPyQrCMBC9C/5DGMGbplUQqUYPgiiCiNvB29iMbbWZlCZu&#10;f28Ewds83jrj6cuU4kG1KywriLsRCOLU6oIzBYf9vDME4TyyxtIyKXiTg+mk2Rhjou2Tt/TY+UyE&#10;EHYJKsi9rxIpXZqTQde1FXHgLrY26AOsM6lrfIZwU8peFA2kwYJDQ44VzXJKb7u7UbBeuOOp0PF7&#10;vdkMD/3L6nru016pdiuORiA8vfxf/HMvdZgfw/eXcICcfA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JuwvHbgAAADbAAAA&#10;DwAAAAAAAAABACAAAAAiAAAAZHJzL2Rvd25yZXYueG1sUEsBAhQAFAAAAAgAh07iQDMvBZ47AAAA&#10;OQAAABAAAAAAAAAAAQAgAAAABwEAAGRycy9zaGFwZXhtbC54bWxQSwUGAAAAAAYABgBbAQAAsQMA&#10;AAAA&#10;" adj="5395,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sBrM57kAAADb&#10;AAAADwAAAGRycy9kb3ducmV2LnhtbEVPTWsCMRC9C/6HMEJvmmhR2tXoodBS6EGMHtrbsBl3FzeT&#10;JYm6/fdGELzN433OatO7VlwoxMazhulEgSAuvW240nDYf47fQMSEbLH1TBr+KcJmPRyssLD+yju6&#10;mFSJHMKxQA11Sl0hZSxrchgnviPO3NEHhynDUEkb8JrDXStnSi2kw4ZzQ40dfdRUnszZaTCxZfN1&#10;+CF6N+r4GrZd3//+af0ymqoliER9eoof7m+b58/h/ks+QK5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AazOe5AAAA2wAA&#10;AA8AAAAAAAAAAQAgAAAAIgAAAGRycy9kb3ducmV2LnhtbFBLAQIUABQAAAAIAIdO4kAzLwWeOwAA&#10;ADkAAAAQAAAAAAAAAAEAIAAAAAgBAABkcnMvc2hhcGV4bWwueG1sUEsFBgAAAAAGAAYAWwEAALID&#10;AAAAAA==&#10;" adj="16205,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left"/>
        <w:rPr>
          <w:rFonts w:ascii="宋体" w:hAnsi="宋体" w:cs="宋体"/>
          <w:b/>
          <w:kern w:val="0"/>
          <w:sz w:val="18"/>
          <w:szCs w:val="18"/>
        </w:rPr>
      </w:pPr>
    </w:p>
    <w:p>
      <w:pPr>
        <w:snapToGrid w:val="0"/>
        <w:spacing w:beforeLines="50" w:line="480" w:lineRule="exact"/>
        <w:jc w:val="center"/>
      </w:pPr>
    </w:p>
    <w:p>
      <w:pPr>
        <w:jc w:val="center"/>
        <w:rPr>
          <w:rFonts w:hint="eastAsia" w:ascii="宋体" w:hAnsi="宋体"/>
          <w:b/>
          <w:bCs/>
          <w:sz w:val="28"/>
          <w:szCs w:val="18"/>
        </w:rPr>
      </w:pPr>
    </w:p>
    <w:p>
      <w:pPr>
        <w:jc w:val="center"/>
        <w:rPr>
          <w:rFonts w:hint="eastAsia" w:ascii="宋体" w:hAnsi="宋体"/>
          <w:b/>
          <w:bCs/>
          <w:sz w:val="28"/>
          <w:szCs w:val="18"/>
        </w:rPr>
      </w:pPr>
      <w:r>
        <w:rPr>
          <w:rFonts w:hint="eastAsia" w:ascii="宋体" w:hAnsi="宋体"/>
          <w:b/>
          <w:bCs/>
          <w:sz w:val="28"/>
          <w:szCs w:val="18"/>
        </w:rPr>
        <w:br w:type="textWrapping"/>
      </w: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2E97"/>
    <w:rsid w:val="00004F37"/>
    <w:rsid w:val="00006269"/>
    <w:rsid w:val="0001614C"/>
    <w:rsid w:val="000200A7"/>
    <w:rsid w:val="000309B4"/>
    <w:rsid w:val="00037BF0"/>
    <w:rsid w:val="00040800"/>
    <w:rsid w:val="00046F90"/>
    <w:rsid w:val="00050D3D"/>
    <w:rsid w:val="00050F51"/>
    <w:rsid w:val="00052A6F"/>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245"/>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36C42"/>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4E6C"/>
    <w:rsid w:val="00415078"/>
    <w:rsid w:val="0042054B"/>
    <w:rsid w:val="00430B9B"/>
    <w:rsid w:val="00435BAC"/>
    <w:rsid w:val="0044019E"/>
    <w:rsid w:val="004402E9"/>
    <w:rsid w:val="00453886"/>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1BB"/>
    <w:rsid w:val="005C16E0"/>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6D72"/>
    <w:rsid w:val="006B5758"/>
    <w:rsid w:val="006B7049"/>
    <w:rsid w:val="006B7CF4"/>
    <w:rsid w:val="006C0B20"/>
    <w:rsid w:val="006C594D"/>
    <w:rsid w:val="006D2F49"/>
    <w:rsid w:val="006D5F2D"/>
    <w:rsid w:val="006E5A04"/>
    <w:rsid w:val="006F584E"/>
    <w:rsid w:val="0071183F"/>
    <w:rsid w:val="0071290A"/>
    <w:rsid w:val="007200CF"/>
    <w:rsid w:val="0073261C"/>
    <w:rsid w:val="00734C13"/>
    <w:rsid w:val="007362D1"/>
    <w:rsid w:val="007430A8"/>
    <w:rsid w:val="00751749"/>
    <w:rsid w:val="007538F6"/>
    <w:rsid w:val="00755143"/>
    <w:rsid w:val="0075595E"/>
    <w:rsid w:val="007613EF"/>
    <w:rsid w:val="00762C46"/>
    <w:rsid w:val="00767C3E"/>
    <w:rsid w:val="00781066"/>
    <w:rsid w:val="0079155E"/>
    <w:rsid w:val="007A1F1C"/>
    <w:rsid w:val="007A6F41"/>
    <w:rsid w:val="007A6FBC"/>
    <w:rsid w:val="007A7049"/>
    <w:rsid w:val="007A79E4"/>
    <w:rsid w:val="007B095C"/>
    <w:rsid w:val="007B3166"/>
    <w:rsid w:val="007B5364"/>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013B"/>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36FD6"/>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637"/>
    <w:rsid w:val="009F2F46"/>
    <w:rsid w:val="009F44C1"/>
    <w:rsid w:val="009F4E97"/>
    <w:rsid w:val="00A03AE2"/>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967D6"/>
    <w:rsid w:val="00CA03B6"/>
    <w:rsid w:val="00CA2643"/>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3B50"/>
    <w:rsid w:val="00D45865"/>
    <w:rsid w:val="00D47609"/>
    <w:rsid w:val="00D51B72"/>
    <w:rsid w:val="00D5365A"/>
    <w:rsid w:val="00D64C20"/>
    <w:rsid w:val="00D7145B"/>
    <w:rsid w:val="00D71A80"/>
    <w:rsid w:val="00D74FC5"/>
    <w:rsid w:val="00D843BF"/>
    <w:rsid w:val="00D90F4F"/>
    <w:rsid w:val="00D94982"/>
    <w:rsid w:val="00DA08AF"/>
    <w:rsid w:val="00DA647A"/>
    <w:rsid w:val="00DA652C"/>
    <w:rsid w:val="00DB1E99"/>
    <w:rsid w:val="00DB2654"/>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5574"/>
    <w:rsid w:val="00F865EE"/>
    <w:rsid w:val="00F87A26"/>
    <w:rsid w:val="00F91724"/>
    <w:rsid w:val="00F94672"/>
    <w:rsid w:val="00FA18CB"/>
    <w:rsid w:val="00FA3DFA"/>
    <w:rsid w:val="00FA4DB3"/>
    <w:rsid w:val="00FA658B"/>
    <w:rsid w:val="00FA7B09"/>
    <w:rsid w:val="00FA7BCE"/>
    <w:rsid w:val="00FC0050"/>
    <w:rsid w:val="00FE0B25"/>
    <w:rsid w:val="00FE0BF4"/>
    <w:rsid w:val="00FE3D6E"/>
    <w:rsid w:val="00FE3DD6"/>
    <w:rsid w:val="00FE657D"/>
    <w:rsid w:val="00FE797C"/>
    <w:rsid w:val="00FF3398"/>
    <w:rsid w:val="00FF460C"/>
    <w:rsid w:val="012B7576"/>
    <w:rsid w:val="014F22B3"/>
    <w:rsid w:val="015107E6"/>
    <w:rsid w:val="015C1818"/>
    <w:rsid w:val="01D453DE"/>
    <w:rsid w:val="020277D8"/>
    <w:rsid w:val="02485D4E"/>
    <w:rsid w:val="027E0C5A"/>
    <w:rsid w:val="02840131"/>
    <w:rsid w:val="028E264D"/>
    <w:rsid w:val="02C14713"/>
    <w:rsid w:val="02D86831"/>
    <w:rsid w:val="02EF77E1"/>
    <w:rsid w:val="03243133"/>
    <w:rsid w:val="032640B7"/>
    <w:rsid w:val="036C6DAA"/>
    <w:rsid w:val="037B73C5"/>
    <w:rsid w:val="03E531F1"/>
    <w:rsid w:val="03ED22EC"/>
    <w:rsid w:val="03F6094D"/>
    <w:rsid w:val="04164179"/>
    <w:rsid w:val="041E697D"/>
    <w:rsid w:val="04815B5D"/>
    <w:rsid w:val="048C0506"/>
    <w:rsid w:val="04EF11D6"/>
    <w:rsid w:val="05066B4B"/>
    <w:rsid w:val="053B19FF"/>
    <w:rsid w:val="055C571B"/>
    <w:rsid w:val="05711A7E"/>
    <w:rsid w:val="058C00A9"/>
    <w:rsid w:val="05B437EC"/>
    <w:rsid w:val="05F2584F"/>
    <w:rsid w:val="06187C8D"/>
    <w:rsid w:val="061A6A13"/>
    <w:rsid w:val="064A5EDE"/>
    <w:rsid w:val="06721621"/>
    <w:rsid w:val="068B4749"/>
    <w:rsid w:val="069A535A"/>
    <w:rsid w:val="06BA258E"/>
    <w:rsid w:val="06DB6DBE"/>
    <w:rsid w:val="070D3B53"/>
    <w:rsid w:val="072B6851"/>
    <w:rsid w:val="07726BC0"/>
    <w:rsid w:val="077730CD"/>
    <w:rsid w:val="07950C39"/>
    <w:rsid w:val="07B55485"/>
    <w:rsid w:val="07BA06BE"/>
    <w:rsid w:val="07C74150"/>
    <w:rsid w:val="08205F90"/>
    <w:rsid w:val="084837A5"/>
    <w:rsid w:val="08487F22"/>
    <w:rsid w:val="085262B3"/>
    <w:rsid w:val="0860304A"/>
    <w:rsid w:val="086246CF"/>
    <w:rsid w:val="08642E5A"/>
    <w:rsid w:val="086D2969"/>
    <w:rsid w:val="08B140CE"/>
    <w:rsid w:val="0979739A"/>
    <w:rsid w:val="09B82702"/>
    <w:rsid w:val="09D94E35"/>
    <w:rsid w:val="09DD76C5"/>
    <w:rsid w:val="09FB2DEB"/>
    <w:rsid w:val="0A224330"/>
    <w:rsid w:val="0A3B3BD5"/>
    <w:rsid w:val="0A436A63"/>
    <w:rsid w:val="0A5C798D"/>
    <w:rsid w:val="0A697B87"/>
    <w:rsid w:val="0A8E1461"/>
    <w:rsid w:val="0A9C2975"/>
    <w:rsid w:val="0AB74823"/>
    <w:rsid w:val="0AC57691"/>
    <w:rsid w:val="0AEE78E2"/>
    <w:rsid w:val="0B322C9A"/>
    <w:rsid w:val="0B8D16E6"/>
    <w:rsid w:val="0B921C08"/>
    <w:rsid w:val="0BB44A6F"/>
    <w:rsid w:val="0BDC7C78"/>
    <w:rsid w:val="0BE36CA3"/>
    <w:rsid w:val="0BF12584"/>
    <w:rsid w:val="0BF82C31"/>
    <w:rsid w:val="0C1708AC"/>
    <w:rsid w:val="0C1D6B7A"/>
    <w:rsid w:val="0C584BBD"/>
    <w:rsid w:val="0C6E04EF"/>
    <w:rsid w:val="0CAB26D5"/>
    <w:rsid w:val="0CB17E61"/>
    <w:rsid w:val="0CBA0E41"/>
    <w:rsid w:val="0D552B6D"/>
    <w:rsid w:val="0D7359A1"/>
    <w:rsid w:val="0D9C536D"/>
    <w:rsid w:val="0E183F30"/>
    <w:rsid w:val="0E1A7433"/>
    <w:rsid w:val="0E1B399E"/>
    <w:rsid w:val="0E8C5D7C"/>
    <w:rsid w:val="0E8F15F0"/>
    <w:rsid w:val="0E9E33E2"/>
    <w:rsid w:val="0EB00977"/>
    <w:rsid w:val="103764A9"/>
    <w:rsid w:val="105B1B61"/>
    <w:rsid w:val="106D0B81"/>
    <w:rsid w:val="10807BA2"/>
    <w:rsid w:val="10997447"/>
    <w:rsid w:val="10A854E3"/>
    <w:rsid w:val="11044578"/>
    <w:rsid w:val="111567CA"/>
    <w:rsid w:val="114A726B"/>
    <w:rsid w:val="114D75A3"/>
    <w:rsid w:val="116B08B9"/>
    <w:rsid w:val="116F3C27"/>
    <w:rsid w:val="117C0982"/>
    <w:rsid w:val="1186384C"/>
    <w:rsid w:val="118B2866"/>
    <w:rsid w:val="11D3174D"/>
    <w:rsid w:val="12111CE2"/>
    <w:rsid w:val="12374872"/>
    <w:rsid w:val="125633BB"/>
    <w:rsid w:val="128C30FA"/>
    <w:rsid w:val="128F1B00"/>
    <w:rsid w:val="129123DB"/>
    <w:rsid w:val="12A32D1F"/>
    <w:rsid w:val="12C82F5F"/>
    <w:rsid w:val="12D474AF"/>
    <w:rsid w:val="12EF539D"/>
    <w:rsid w:val="13061F8C"/>
    <w:rsid w:val="13180760"/>
    <w:rsid w:val="13853312"/>
    <w:rsid w:val="13860D94"/>
    <w:rsid w:val="13AD22D8"/>
    <w:rsid w:val="13B35317"/>
    <w:rsid w:val="13E56022"/>
    <w:rsid w:val="13FC2057"/>
    <w:rsid w:val="1424782D"/>
    <w:rsid w:val="142D60AA"/>
    <w:rsid w:val="14480E52"/>
    <w:rsid w:val="1462527F"/>
    <w:rsid w:val="146606A8"/>
    <w:rsid w:val="14A127E5"/>
    <w:rsid w:val="14B97E8C"/>
    <w:rsid w:val="14D058B3"/>
    <w:rsid w:val="14DE0CD7"/>
    <w:rsid w:val="14E8519A"/>
    <w:rsid w:val="15584512"/>
    <w:rsid w:val="15596EC0"/>
    <w:rsid w:val="15623553"/>
    <w:rsid w:val="1604074F"/>
    <w:rsid w:val="16391602"/>
    <w:rsid w:val="164467AA"/>
    <w:rsid w:val="168A398A"/>
    <w:rsid w:val="16B36D4D"/>
    <w:rsid w:val="16B953D3"/>
    <w:rsid w:val="16E21E1B"/>
    <w:rsid w:val="16F577B6"/>
    <w:rsid w:val="1703454E"/>
    <w:rsid w:val="1711379B"/>
    <w:rsid w:val="17206192"/>
    <w:rsid w:val="17AF08A9"/>
    <w:rsid w:val="17D313A3"/>
    <w:rsid w:val="17DB7587"/>
    <w:rsid w:val="17E70043"/>
    <w:rsid w:val="17E91348"/>
    <w:rsid w:val="17EF2457"/>
    <w:rsid w:val="17F6065E"/>
    <w:rsid w:val="17FA381A"/>
    <w:rsid w:val="181E68F0"/>
    <w:rsid w:val="18235FA5"/>
    <w:rsid w:val="18292F6E"/>
    <w:rsid w:val="182D2D36"/>
    <w:rsid w:val="185A1904"/>
    <w:rsid w:val="18825CC3"/>
    <w:rsid w:val="18B60219"/>
    <w:rsid w:val="18C550A9"/>
    <w:rsid w:val="18D944D4"/>
    <w:rsid w:val="18DD7D48"/>
    <w:rsid w:val="18DF3E5F"/>
    <w:rsid w:val="19071CC8"/>
    <w:rsid w:val="191142D4"/>
    <w:rsid w:val="19A50560"/>
    <w:rsid w:val="19D4203E"/>
    <w:rsid w:val="19DC4FFB"/>
    <w:rsid w:val="19E908B9"/>
    <w:rsid w:val="19ED3548"/>
    <w:rsid w:val="1A0F3C5A"/>
    <w:rsid w:val="1A29778A"/>
    <w:rsid w:val="1A491DAC"/>
    <w:rsid w:val="1A5F6FEE"/>
    <w:rsid w:val="1A7C6AB6"/>
    <w:rsid w:val="1A8F0322"/>
    <w:rsid w:val="1AAF48E3"/>
    <w:rsid w:val="1AE41AF3"/>
    <w:rsid w:val="1B171500"/>
    <w:rsid w:val="1BC85AA0"/>
    <w:rsid w:val="1C2E0BDD"/>
    <w:rsid w:val="1C392F29"/>
    <w:rsid w:val="1C6F2DB6"/>
    <w:rsid w:val="1C726B4A"/>
    <w:rsid w:val="1C7F1A3E"/>
    <w:rsid w:val="1C951971"/>
    <w:rsid w:val="1D13223F"/>
    <w:rsid w:val="1D1B764B"/>
    <w:rsid w:val="1D1D4F09"/>
    <w:rsid w:val="1D266B90"/>
    <w:rsid w:val="1D652049"/>
    <w:rsid w:val="1D86477C"/>
    <w:rsid w:val="1DBA3E18"/>
    <w:rsid w:val="1E0E375C"/>
    <w:rsid w:val="1E1D3954"/>
    <w:rsid w:val="1E2C078D"/>
    <w:rsid w:val="1E3E55C8"/>
    <w:rsid w:val="1E414EAF"/>
    <w:rsid w:val="1E5D6D5E"/>
    <w:rsid w:val="1E682B9A"/>
    <w:rsid w:val="1E79088D"/>
    <w:rsid w:val="1EBE5AFE"/>
    <w:rsid w:val="1EF67E9C"/>
    <w:rsid w:val="1F163F8E"/>
    <w:rsid w:val="1F4958D9"/>
    <w:rsid w:val="1F6071FE"/>
    <w:rsid w:val="1FA82580"/>
    <w:rsid w:val="20174E36"/>
    <w:rsid w:val="204C6209"/>
    <w:rsid w:val="206F170E"/>
    <w:rsid w:val="20BA4D94"/>
    <w:rsid w:val="20F879A7"/>
    <w:rsid w:val="21060EBB"/>
    <w:rsid w:val="21510752"/>
    <w:rsid w:val="21540FBA"/>
    <w:rsid w:val="21637056"/>
    <w:rsid w:val="21733430"/>
    <w:rsid w:val="21783778"/>
    <w:rsid w:val="219B1689"/>
    <w:rsid w:val="21B26DD5"/>
    <w:rsid w:val="21D44D8B"/>
    <w:rsid w:val="2214199F"/>
    <w:rsid w:val="221A5500"/>
    <w:rsid w:val="222C0C9D"/>
    <w:rsid w:val="223C5D9A"/>
    <w:rsid w:val="224D3B65"/>
    <w:rsid w:val="226552A9"/>
    <w:rsid w:val="226D176C"/>
    <w:rsid w:val="22850432"/>
    <w:rsid w:val="228A48BA"/>
    <w:rsid w:val="22B0061E"/>
    <w:rsid w:val="22E31B89"/>
    <w:rsid w:val="22F307CA"/>
    <w:rsid w:val="232F3534"/>
    <w:rsid w:val="234341C3"/>
    <w:rsid w:val="234E7005"/>
    <w:rsid w:val="23AF034C"/>
    <w:rsid w:val="23B36272"/>
    <w:rsid w:val="23DB2F62"/>
    <w:rsid w:val="23ED4783"/>
    <w:rsid w:val="240D11B3"/>
    <w:rsid w:val="24335B6F"/>
    <w:rsid w:val="2439137D"/>
    <w:rsid w:val="25147B41"/>
    <w:rsid w:val="251A1C01"/>
    <w:rsid w:val="25200CA4"/>
    <w:rsid w:val="253D7326"/>
    <w:rsid w:val="25544D4D"/>
    <w:rsid w:val="256C1044"/>
    <w:rsid w:val="25BB35E8"/>
    <w:rsid w:val="25CC1BFA"/>
    <w:rsid w:val="264158CF"/>
    <w:rsid w:val="264F37A8"/>
    <w:rsid w:val="265213ED"/>
    <w:rsid w:val="267E1DB2"/>
    <w:rsid w:val="26D37F62"/>
    <w:rsid w:val="26EF0446"/>
    <w:rsid w:val="274676FC"/>
    <w:rsid w:val="277E02ED"/>
    <w:rsid w:val="27C512CF"/>
    <w:rsid w:val="27E53D82"/>
    <w:rsid w:val="27E9599D"/>
    <w:rsid w:val="27EE316A"/>
    <w:rsid w:val="28405395"/>
    <w:rsid w:val="28541F9A"/>
    <w:rsid w:val="286768D9"/>
    <w:rsid w:val="288120DD"/>
    <w:rsid w:val="2893594A"/>
    <w:rsid w:val="289406A2"/>
    <w:rsid w:val="28BC293D"/>
    <w:rsid w:val="28F76BC7"/>
    <w:rsid w:val="29095BA3"/>
    <w:rsid w:val="295F1C4B"/>
    <w:rsid w:val="29621FF4"/>
    <w:rsid w:val="29AB019A"/>
    <w:rsid w:val="29BF1089"/>
    <w:rsid w:val="29D530DD"/>
    <w:rsid w:val="29DB2BB8"/>
    <w:rsid w:val="29FF51C7"/>
    <w:rsid w:val="2A017DDD"/>
    <w:rsid w:val="2A043D7C"/>
    <w:rsid w:val="2A120B13"/>
    <w:rsid w:val="2A774123"/>
    <w:rsid w:val="2A842B20"/>
    <w:rsid w:val="2AA76E09"/>
    <w:rsid w:val="2B700A50"/>
    <w:rsid w:val="2B7661DC"/>
    <w:rsid w:val="2B903B44"/>
    <w:rsid w:val="2BE3762B"/>
    <w:rsid w:val="2C110389"/>
    <w:rsid w:val="2C153501"/>
    <w:rsid w:val="2C283A81"/>
    <w:rsid w:val="2C372A17"/>
    <w:rsid w:val="2C395F1A"/>
    <w:rsid w:val="2C8C7F23"/>
    <w:rsid w:val="2CD07712"/>
    <w:rsid w:val="2D324A76"/>
    <w:rsid w:val="2D3D22C5"/>
    <w:rsid w:val="2D406ACD"/>
    <w:rsid w:val="2D8C4D07"/>
    <w:rsid w:val="2DA54273"/>
    <w:rsid w:val="2DBA5111"/>
    <w:rsid w:val="2E286892"/>
    <w:rsid w:val="2E475FFA"/>
    <w:rsid w:val="2E5E7209"/>
    <w:rsid w:val="2E627EA9"/>
    <w:rsid w:val="2E922BF6"/>
    <w:rsid w:val="2ED15F5E"/>
    <w:rsid w:val="2EF54743"/>
    <w:rsid w:val="2F5B483E"/>
    <w:rsid w:val="2F6249EE"/>
    <w:rsid w:val="2FCF25FE"/>
    <w:rsid w:val="2FD62B52"/>
    <w:rsid w:val="2FF45664"/>
    <w:rsid w:val="305B7C64"/>
    <w:rsid w:val="3062324B"/>
    <w:rsid w:val="30733F3F"/>
    <w:rsid w:val="3075080D"/>
    <w:rsid w:val="309E19D2"/>
    <w:rsid w:val="30E65649"/>
    <w:rsid w:val="310B6782"/>
    <w:rsid w:val="314563C1"/>
    <w:rsid w:val="315A2FEB"/>
    <w:rsid w:val="316C6324"/>
    <w:rsid w:val="3190306E"/>
    <w:rsid w:val="31BB30A3"/>
    <w:rsid w:val="320831A2"/>
    <w:rsid w:val="322B276C"/>
    <w:rsid w:val="32315787"/>
    <w:rsid w:val="326231C8"/>
    <w:rsid w:val="32653EB6"/>
    <w:rsid w:val="326D5E9B"/>
    <w:rsid w:val="329B0193"/>
    <w:rsid w:val="32C71129"/>
    <w:rsid w:val="32D02BEB"/>
    <w:rsid w:val="32EA6DED"/>
    <w:rsid w:val="32EA7018"/>
    <w:rsid w:val="32FD576E"/>
    <w:rsid w:val="33A928CE"/>
    <w:rsid w:val="33C2127A"/>
    <w:rsid w:val="33E24302"/>
    <w:rsid w:val="33E46427"/>
    <w:rsid w:val="33FF10DF"/>
    <w:rsid w:val="34291894"/>
    <w:rsid w:val="345D1478"/>
    <w:rsid w:val="348A3241"/>
    <w:rsid w:val="34A075E3"/>
    <w:rsid w:val="34A10970"/>
    <w:rsid w:val="34A672EE"/>
    <w:rsid w:val="34D06C8E"/>
    <w:rsid w:val="34E40131"/>
    <w:rsid w:val="34EB51C8"/>
    <w:rsid w:val="34ED54E4"/>
    <w:rsid w:val="353F7D43"/>
    <w:rsid w:val="35534ABE"/>
    <w:rsid w:val="355A1216"/>
    <w:rsid w:val="357F17EA"/>
    <w:rsid w:val="35C34243"/>
    <w:rsid w:val="35F13A8D"/>
    <w:rsid w:val="360E6BE8"/>
    <w:rsid w:val="36A2002D"/>
    <w:rsid w:val="36C805EF"/>
    <w:rsid w:val="36CB3D61"/>
    <w:rsid w:val="36D24400"/>
    <w:rsid w:val="37393FCC"/>
    <w:rsid w:val="374E17CB"/>
    <w:rsid w:val="376A7A76"/>
    <w:rsid w:val="37C13D08"/>
    <w:rsid w:val="38B76627"/>
    <w:rsid w:val="38D45B95"/>
    <w:rsid w:val="38ED0B71"/>
    <w:rsid w:val="39057817"/>
    <w:rsid w:val="39674039"/>
    <w:rsid w:val="39682ADB"/>
    <w:rsid w:val="39900A80"/>
    <w:rsid w:val="399A7FCA"/>
    <w:rsid w:val="39A43E9E"/>
    <w:rsid w:val="39B131B3"/>
    <w:rsid w:val="39B905C0"/>
    <w:rsid w:val="39C22C55"/>
    <w:rsid w:val="39C94061"/>
    <w:rsid w:val="39D236E8"/>
    <w:rsid w:val="39D3116A"/>
    <w:rsid w:val="39F529A3"/>
    <w:rsid w:val="39F71729"/>
    <w:rsid w:val="39FB232E"/>
    <w:rsid w:val="3A0E2434"/>
    <w:rsid w:val="3A2B507B"/>
    <w:rsid w:val="3A2D057F"/>
    <w:rsid w:val="3ADD4E9F"/>
    <w:rsid w:val="3B0E69A9"/>
    <w:rsid w:val="3B1B274C"/>
    <w:rsid w:val="3B1B5753"/>
    <w:rsid w:val="3B5570E7"/>
    <w:rsid w:val="3BB7187F"/>
    <w:rsid w:val="3C4D74A5"/>
    <w:rsid w:val="3CC06339"/>
    <w:rsid w:val="3CEB2A01"/>
    <w:rsid w:val="3CFB7418"/>
    <w:rsid w:val="3D3921C5"/>
    <w:rsid w:val="3D53112B"/>
    <w:rsid w:val="3D754D6F"/>
    <w:rsid w:val="3D930C99"/>
    <w:rsid w:val="3DAA1B3A"/>
    <w:rsid w:val="3DC15C33"/>
    <w:rsid w:val="3DC65BE7"/>
    <w:rsid w:val="3DEB75DC"/>
    <w:rsid w:val="3E1958A3"/>
    <w:rsid w:val="3E2D0A8E"/>
    <w:rsid w:val="3E5654D6"/>
    <w:rsid w:val="3E9C0D74"/>
    <w:rsid w:val="3EBC58CC"/>
    <w:rsid w:val="3EF25354"/>
    <w:rsid w:val="3EF8449D"/>
    <w:rsid w:val="3F1143B4"/>
    <w:rsid w:val="3F494FE9"/>
    <w:rsid w:val="3FA163F2"/>
    <w:rsid w:val="3FC10895"/>
    <w:rsid w:val="3FC55E64"/>
    <w:rsid w:val="3FF84B25"/>
    <w:rsid w:val="402356C6"/>
    <w:rsid w:val="403147CD"/>
    <w:rsid w:val="40516596"/>
    <w:rsid w:val="405E4CFE"/>
    <w:rsid w:val="410C3445"/>
    <w:rsid w:val="41271671"/>
    <w:rsid w:val="412F645D"/>
    <w:rsid w:val="414D3EAF"/>
    <w:rsid w:val="41934623"/>
    <w:rsid w:val="41B4111A"/>
    <w:rsid w:val="41C837F8"/>
    <w:rsid w:val="41CA49D5"/>
    <w:rsid w:val="41FD4053"/>
    <w:rsid w:val="425D61F8"/>
    <w:rsid w:val="428B1338"/>
    <w:rsid w:val="42A91799"/>
    <w:rsid w:val="42E94F55"/>
    <w:rsid w:val="42F176D0"/>
    <w:rsid w:val="433462CE"/>
    <w:rsid w:val="4359650D"/>
    <w:rsid w:val="43CD51C7"/>
    <w:rsid w:val="44123B6A"/>
    <w:rsid w:val="442F2742"/>
    <w:rsid w:val="4430746A"/>
    <w:rsid w:val="4450106D"/>
    <w:rsid w:val="445A3B32"/>
    <w:rsid w:val="446E05D4"/>
    <w:rsid w:val="450823F0"/>
    <w:rsid w:val="455E2608"/>
    <w:rsid w:val="45A5284F"/>
    <w:rsid w:val="45D2476C"/>
    <w:rsid w:val="45DF74C2"/>
    <w:rsid w:val="45FD6761"/>
    <w:rsid w:val="460B1D95"/>
    <w:rsid w:val="464D55E6"/>
    <w:rsid w:val="46534F71"/>
    <w:rsid w:val="46755243"/>
    <w:rsid w:val="467609A9"/>
    <w:rsid w:val="46B77214"/>
    <w:rsid w:val="46BD331C"/>
    <w:rsid w:val="46D467C4"/>
    <w:rsid w:val="46EE736E"/>
    <w:rsid w:val="46FD0882"/>
    <w:rsid w:val="471F593F"/>
    <w:rsid w:val="474422FB"/>
    <w:rsid w:val="4757351A"/>
    <w:rsid w:val="47974304"/>
    <w:rsid w:val="480A2FBE"/>
    <w:rsid w:val="48185B57"/>
    <w:rsid w:val="482C6FBC"/>
    <w:rsid w:val="487C587B"/>
    <w:rsid w:val="489B28AD"/>
    <w:rsid w:val="48BB0BE3"/>
    <w:rsid w:val="48E36524"/>
    <w:rsid w:val="49165266"/>
    <w:rsid w:val="49240ABD"/>
    <w:rsid w:val="49244D8F"/>
    <w:rsid w:val="49547ADD"/>
    <w:rsid w:val="49724822"/>
    <w:rsid w:val="49792302"/>
    <w:rsid w:val="49825129"/>
    <w:rsid w:val="49AB4C68"/>
    <w:rsid w:val="49D01002"/>
    <w:rsid w:val="49D074BD"/>
    <w:rsid w:val="49EC0F55"/>
    <w:rsid w:val="49F308E0"/>
    <w:rsid w:val="4A17781B"/>
    <w:rsid w:val="4A2645B2"/>
    <w:rsid w:val="4A6E674F"/>
    <w:rsid w:val="4AA25200"/>
    <w:rsid w:val="4AB17401"/>
    <w:rsid w:val="4AD743D6"/>
    <w:rsid w:val="4B16278C"/>
    <w:rsid w:val="4B1E4B4A"/>
    <w:rsid w:val="4B2D0403"/>
    <w:rsid w:val="4B3C1332"/>
    <w:rsid w:val="4B5F55B3"/>
    <w:rsid w:val="4B5F7CED"/>
    <w:rsid w:val="4B600F47"/>
    <w:rsid w:val="4C112711"/>
    <w:rsid w:val="4C782822"/>
    <w:rsid w:val="4CAF785F"/>
    <w:rsid w:val="4D5634F0"/>
    <w:rsid w:val="4D5D1F40"/>
    <w:rsid w:val="4D797ECE"/>
    <w:rsid w:val="4DB95793"/>
    <w:rsid w:val="4DDF0F63"/>
    <w:rsid w:val="4E0E506F"/>
    <w:rsid w:val="4E4B256C"/>
    <w:rsid w:val="4E501D2A"/>
    <w:rsid w:val="4E884B66"/>
    <w:rsid w:val="4E8F0CF5"/>
    <w:rsid w:val="4EAB059E"/>
    <w:rsid w:val="4EB621B3"/>
    <w:rsid w:val="4EF26794"/>
    <w:rsid w:val="4EFB2AF1"/>
    <w:rsid w:val="4F001B1A"/>
    <w:rsid w:val="4F1637C8"/>
    <w:rsid w:val="4F330DE2"/>
    <w:rsid w:val="4F454F19"/>
    <w:rsid w:val="4F923C1E"/>
    <w:rsid w:val="4FBB03DB"/>
    <w:rsid w:val="4FC04863"/>
    <w:rsid w:val="50120DEA"/>
    <w:rsid w:val="50146E75"/>
    <w:rsid w:val="503F6BEE"/>
    <w:rsid w:val="50BB5D80"/>
    <w:rsid w:val="50DC4B57"/>
    <w:rsid w:val="51186119"/>
    <w:rsid w:val="51291058"/>
    <w:rsid w:val="512A25C9"/>
    <w:rsid w:val="512F7196"/>
    <w:rsid w:val="51322546"/>
    <w:rsid w:val="51465964"/>
    <w:rsid w:val="51827D47"/>
    <w:rsid w:val="51A57002"/>
    <w:rsid w:val="51AA7C07"/>
    <w:rsid w:val="51D41C31"/>
    <w:rsid w:val="51E00BA5"/>
    <w:rsid w:val="51F75A19"/>
    <w:rsid w:val="52163CAA"/>
    <w:rsid w:val="521C7F46"/>
    <w:rsid w:val="523649F2"/>
    <w:rsid w:val="52553923"/>
    <w:rsid w:val="52686D40"/>
    <w:rsid w:val="52995311"/>
    <w:rsid w:val="52CA1312"/>
    <w:rsid w:val="52D75E66"/>
    <w:rsid w:val="5335235D"/>
    <w:rsid w:val="5338218F"/>
    <w:rsid w:val="535F384F"/>
    <w:rsid w:val="539C5E38"/>
    <w:rsid w:val="53D6159A"/>
    <w:rsid w:val="53E0692D"/>
    <w:rsid w:val="545B07F5"/>
    <w:rsid w:val="545E1B1E"/>
    <w:rsid w:val="54766E20"/>
    <w:rsid w:val="54DB67C4"/>
    <w:rsid w:val="54DD1CC8"/>
    <w:rsid w:val="551256A6"/>
    <w:rsid w:val="551A792E"/>
    <w:rsid w:val="5536145D"/>
    <w:rsid w:val="556D4434"/>
    <w:rsid w:val="559C59C0"/>
    <w:rsid w:val="55AB141B"/>
    <w:rsid w:val="55AB5B98"/>
    <w:rsid w:val="55C022BA"/>
    <w:rsid w:val="55C909CB"/>
    <w:rsid w:val="55EA6982"/>
    <w:rsid w:val="560045EE"/>
    <w:rsid w:val="563F7711"/>
    <w:rsid w:val="565B37BE"/>
    <w:rsid w:val="567543CB"/>
    <w:rsid w:val="5694095A"/>
    <w:rsid w:val="569B1267"/>
    <w:rsid w:val="56AC22C3"/>
    <w:rsid w:val="56FE3FDE"/>
    <w:rsid w:val="570B22DC"/>
    <w:rsid w:val="572E2CA3"/>
    <w:rsid w:val="57356DDE"/>
    <w:rsid w:val="576747DC"/>
    <w:rsid w:val="577B5E13"/>
    <w:rsid w:val="5788003C"/>
    <w:rsid w:val="578B65ED"/>
    <w:rsid w:val="57A7781E"/>
    <w:rsid w:val="57AD4F45"/>
    <w:rsid w:val="57DE5EB8"/>
    <w:rsid w:val="57FB5468"/>
    <w:rsid w:val="57FE63ED"/>
    <w:rsid w:val="581B7F1B"/>
    <w:rsid w:val="58D21C48"/>
    <w:rsid w:val="58DB6CD4"/>
    <w:rsid w:val="58DE7C59"/>
    <w:rsid w:val="58E9186D"/>
    <w:rsid w:val="591304B3"/>
    <w:rsid w:val="59284BD5"/>
    <w:rsid w:val="59874C33"/>
    <w:rsid w:val="59B5223B"/>
    <w:rsid w:val="5A272A2B"/>
    <w:rsid w:val="5A3E219F"/>
    <w:rsid w:val="5A432DA3"/>
    <w:rsid w:val="5A5519CB"/>
    <w:rsid w:val="5A81068A"/>
    <w:rsid w:val="5A8A2BB3"/>
    <w:rsid w:val="5A9F68DC"/>
    <w:rsid w:val="5B214990"/>
    <w:rsid w:val="5B2712A8"/>
    <w:rsid w:val="5B374935"/>
    <w:rsid w:val="5B9B0DD6"/>
    <w:rsid w:val="5C063D09"/>
    <w:rsid w:val="5C0A5CB4"/>
    <w:rsid w:val="5C2515A2"/>
    <w:rsid w:val="5C372A61"/>
    <w:rsid w:val="5C431777"/>
    <w:rsid w:val="5CAE2B0B"/>
    <w:rsid w:val="5CB163A0"/>
    <w:rsid w:val="5CD37BDA"/>
    <w:rsid w:val="5CE81BE2"/>
    <w:rsid w:val="5CF15194"/>
    <w:rsid w:val="5CFB5748"/>
    <w:rsid w:val="5D0C1038"/>
    <w:rsid w:val="5D762C66"/>
    <w:rsid w:val="5D9D04F4"/>
    <w:rsid w:val="5DCA6E6D"/>
    <w:rsid w:val="5DDA56EA"/>
    <w:rsid w:val="5DDB040C"/>
    <w:rsid w:val="5E034B00"/>
    <w:rsid w:val="5E1A7EF1"/>
    <w:rsid w:val="5E782489"/>
    <w:rsid w:val="5EAE2963"/>
    <w:rsid w:val="5ED460FD"/>
    <w:rsid w:val="5EE475B9"/>
    <w:rsid w:val="5F143A07"/>
    <w:rsid w:val="5F517BED"/>
    <w:rsid w:val="5F6F1CD4"/>
    <w:rsid w:val="5FA7097C"/>
    <w:rsid w:val="600D76AB"/>
    <w:rsid w:val="6012002C"/>
    <w:rsid w:val="60151E45"/>
    <w:rsid w:val="60837066"/>
    <w:rsid w:val="60BC6B93"/>
    <w:rsid w:val="612A0DDC"/>
    <w:rsid w:val="612C0778"/>
    <w:rsid w:val="61414E9A"/>
    <w:rsid w:val="614800A8"/>
    <w:rsid w:val="615B5AB3"/>
    <w:rsid w:val="619F2CB5"/>
    <w:rsid w:val="61E60EAB"/>
    <w:rsid w:val="62246792"/>
    <w:rsid w:val="634642EB"/>
    <w:rsid w:val="639E361F"/>
    <w:rsid w:val="63C95E1B"/>
    <w:rsid w:val="640E2396"/>
    <w:rsid w:val="64180CC9"/>
    <w:rsid w:val="641A7B46"/>
    <w:rsid w:val="64451C8F"/>
    <w:rsid w:val="646666C9"/>
    <w:rsid w:val="64A66A83"/>
    <w:rsid w:val="65171FE8"/>
    <w:rsid w:val="657171FE"/>
    <w:rsid w:val="65891022"/>
    <w:rsid w:val="65E43CBA"/>
    <w:rsid w:val="65F364D3"/>
    <w:rsid w:val="6605318F"/>
    <w:rsid w:val="664839DE"/>
    <w:rsid w:val="665816D9"/>
    <w:rsid w:val="66732B7B"/>
    <w:rsid w:val="669F053B"/>
    <w:rsid w:val="66C37AA5"/>
    <w:rsid w:val="66F332D5"/>
    <w:rsid w:val="6709601B"/>
    <w:rsid w:val="670B371C"/>
    <w:rsid w:val="674001A7"/>
    <w:rsid w:val="67514DA2"/>
    <w:rsid w:val="67617776"/>
    <w:rsid w:val="677478C8"/>
    <w:rsid w:val="67B12224"/>
    <w:rsid w:val="67ED628D"/>
    <w:rsid w:val="67F4369A"/>
    <w:rsid w:val="67FA55A3"/>
    <w:rsid w:val="67FB68A8"/>
    <w:rsid w:val="681151C8"/>
    <w:rsid w:val="682644FC"/>
    <w:rsid w:val="682A52A2"/>
    <w:rsid w:val="68665F57"/>
    <w:rsid w:val="687E7D7B"/>
    <w:rsid w:val="68AF137D"/>
    <w:rsid w:val="693130A1"/>
    <w:rsid w:val="69790F04"/>
    <w:rsid w:val="698835DF"/>
    <w:rsid w:val="69D07728"/>
    <w:rsid w:val="69DE6A3D"/>
    <w:rsid w:val="69FF6F72"/>
    <w:rsid w:val="6A31585D"/>
    <w:rsid w:val="6A3D7B45"/>
    <w:rsid w:val="6A906493"/>
    <w:rsid w:val="6A9322A1"/>
    <w:rsid w:val="6AC16A67"/>
    <w:rsid w:val="6AE97A32"/>
    <w:rsid w:val="6B090729"/>
    <w:rsid w:val="6B0F11E2"/>
    <w:rsid w:val="6B1E59DF"/>
    <w:rsid w:val="6B787314"/>
    <w:rsid w:val="6B9F4469"/>
    <w:rsid w:val="6BEC1554"/>
    <w:rsid w:val="6BF07722"/>
    <w:rsid w:val="6C0210B1"/>
    <w:rsid w:val="6C38059F"/>
    <w:rsid w:val="6C496EB7"/>
    <w:rsid w:val="6C637C05"/>
    <w:rsid w:val="6C8947F6"/>
    <w:rsid w:val="6CD50603"/>
    <w:rsid w:val="6CF3643A"/>
    <w:rsid w:val="6CFE56E1"/>
    <w:rsid w:val="6D607785"/>
    <w:rsid w:val="6D943656"/>
    <w:rsid w:val="6D9632D6"/>
    <w:rsid w:val="6DB456ED"/>
    <w:rsid w:val="6DBA0FBA"/>
    <w:rsid w:val="6DCA3B30"/>
    <w:rsid w:val="6DED1766"/>
    <w:rsid w:val="6DF139EF"/>
    <w:rsid w:val="6E0C3A4F"/>
    <w:rsid w:val="6E3C2B6A"/>
    <w:rsid w:val="6E6E7F2A"/>
    <w:rsid w:val="6E725242"/>
    <w:rsid w:val="6E965EC4"/>
    <w:rsid w:val="6E9C3E88"/>
    <w:rsid w:val="6EAF50A7"/>
    <w:rsid w:val="6EC61449"/>
    <w:rsid w:val="6ED177DA"/>
    <w:rsid w:val="6EEC7F1B"/>
    <w:rsid w:val="6F410D93"/>
    <w:rsid w:val="6F4A74A4"/>
    <w:rsid w:val="6F930B9D"/>
    <w:rsid w:val="6FB23C3A"/>
    <w:rsid w:val="6FBB70EF"/>
    <w:rsid w:val="6FC571C1"/>
    <w:rsid w:val="6FD04AFC"/>
    <w:rsid w:val="6FD47408"/>
    <w:rsid w:val="6FD8258B"/>
    <w:rsid w:val="6FEA15AC"/>
    <w:rsid w:val="6FF30BB6"/>
    <w:rsid w:val="700529B7"/>
    <w:rsid w:val="70065659"/>
    <w:rsid w:val="70113072"/>
    <w:rsid w:val="70173375"/>
    <w:rsid w:val="70311E6B"/>
    <w:rsid w:val="70335223"/>
    <w:rsid w:val="70676382"/>
    <w:rsid w:val="709848AF"/>
    <w:rsid w:val="70FA71EB"/>
    <w:rsid w:val="711B1811"/>
    <w:rsid w:val="71A74D85"/>
    <w:rsid w:val="71AF46E8"/>
    <w:rsid w:val="71B43E9D"/>
    <w:rsid w:val="71B90B77"/>
    <w:rsid w:val="71C476CC"/>
    <w:rsid w:val="71C80B3D"/>
    <w:rsid w:val="71CD585B"/>
    <w:rsid w:val="71F21D23"/>
    <w:rsid w:val="72350F69"/>
    <w:rsid w:val="72401A80"/>
    <w:rsid w:val="7251199A"/>
    <w:rsid w:val="7254291F"/>
    <w:rsid w:val="72644767"/>
    <w:rsid w:val="727529EB"/>
    <w:rsid w:val="729C0B15"/>
    <w:rsid w:val="729E5448"/>
    <w:rsid w:val="72A16CCB"/>
    <w:rsid w:val="72C46456"/>
    <w:rsid w:val="72C83B26"/>
    <w:rsid w:val="72CC5B95"/>
    <w:rsid w:val="73763CFB"/>
    <w:rsid w:val="737F6B89"/>
    <w:rsid w:val="739003CE"/>
    <w:rsid w:val="739A0A38"/>
    <w:rsid w:val="73C31BFC"/>
    <w:rsid w:val="73CD470A"/>
    <w:rsid w:val="73CF3F7D"/>
    <w:rsid w:val="73D87C87"/>
    <w:rsid w:val="73EC52BA"/>
    <w:rsid w:val="73F80DD1"/>
    <w:rsid w:val="745436E9"/>
    <w:rsid w:val="7457466E"/>
    <w:rsid w:val="74694588"/>
    <w:rsid w:val="74C04F97"/>
    <w:rsid w:val="74D12A3C"/>
    <w:rsid w:val="74FA76FB"/>
    <w:rsid w:val="750644A3"/>
    <w:rsid w:val="750D5096"/>
    <w:rsid w:val="751A2389"/>
    <w:rsid w:val="75732515"/>
    <w:rsid w:val="7585185D"/>
    <w:rsid w:val="7593173D"/>
    <w:rsid w:val="75D77193"/>
    <w:rsid w:val="75E91581"/>
    <w:rsid w:val="75E95CFE"/>
    <w:rsid w:val="77673652"/>
    <w:rsid w:val="77740D08"/>
    <w:rsid w:val="7776420B"/>
    <w:rsid w:val="778179CC"/>
    <w:rsid w:val="778D7463"/>
    <w:rsid w:val="77A13BB4"/>
    <w:rsid w:val="77C876D6"/>
    <w:rsid w:val="77E757C4"/>
    <w:rsid w:val="78131B3E"/>
    <w:rsid w:val="78421323"/>
    <w:rsid w:val="784A5BBA"/>
    <w:rsid w:val="785A2ADE"/>
    <w:rsid w:val="788D3B1B"/>
    <w:rsid w:val="78A10475"/>
    <w:rsid w:val="790E68AB"/>
    <w:rsid w:val="7960262E"/>
    <w:rsid w:val="79602E32"/>
    <w:rsid w:val="796E7D3A"/>
    <w:rsid w:val="79990A0D"/>
    <w:rsid w:val="79AE5130"/>
    <w:rsid w:val="79D704F2"/>
    <w:rsid w:val="79E7658E"/>
    <w:rsid w:val="79F57AA2"/>
    <w:rsid w:val="79F61C1D"/>
    <w:rsid w:val="79F964A8"/>
    <w:rsid w:val="7A5720C5"/>
    <w:rsid w:val="7A610456"/>
    <w:rsid w:val="7A6300D6"/>
    <w:rsid w:val="7AAD2AD4"/>
    <w:rsid w:val="7AC9440C"/>
    <w:rsid w:val="7ADC67B6"/>
    <w:rsid w:val="7AF918CE"/>
    <w:rsid w:val="7B152F20"/>
    <w:rsid w:val="7B186900"/>
    <w:rsid w:val="7B3B2338"/>
    <w:rsid w:val="7B892D65"/>
    <w:rsid w:val="7BA051AE"/>
    <w:rsid w:val="7BA8110B"/>
    <w:rsid w:val="7BCD512A"/>
    <w:rsid w:val="7BF42DEB"/>
    <w:rsid w:val="7C0F7FDD"/>
    <w:rsid w:val="7C1F3C3D"/>
    <w:rsid w:val="7CA4518D"/>
    <w:rsid w:val="7CC940C8"/>
    <w:rsid w:val="7D1379BF"/>
    <w:rsid w:val="7D160D1F"/>
    <w:rsid w:val="7D7265C6"/>
    <w:rsid w:val="7D877D66"/>
    <w:rsid w:val="7D8A49BD"/>
    <w:rsid w:val="7DC62CE6"/>
    <w:rsid w:val="7DD86484"/>
    <w:rsid w:val="7DF30332"/>
    <w:rsid w:val="7E7B17D5"/>
    <w:rsid w:val="7E98303F"/>
    <w:rsid w:val="7EAE30FC"/>
    <w:rsid w:val="7EEF03FF"/>
    <w:rsid w:val="7F5A30FD"/>
    <w:rsid w:val="7F751728"/>
    <w:rsid w:val="7FDC23D1"/>
    <w:rsid w:val="7FE66564"/>
    <w:rsid w:val="7FEF6E73"/>
    <w:rsid w:val="7FF6540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2674</Words>
  <Characters>15246</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2025-06-24T00:24:28Z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143B6F0FCA584ACB83AA243605F05C09</vt:lpwstr>
  </property>
</Properties>
</file>