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146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CLZX12MB146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31日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bookmarkStart w:id="8" w:name="_GoBack"/>
            <w:bookmarkEnd w:id="8"/>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37147671"/>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25AE1"/>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1158E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97AF0"/>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092F32"/>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D449B4"/>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2025-10-20T07:39:13Z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