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12"/>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312</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CLZX12MA</w:t>
            </w:r>
            <w:r>
              <w:rPr>
                <w:rFonts w:hint="eastAsia" w:ascii="宋体" w:hAnsi="宋体" w:cs="宋体"/>
                <w:kern w:val="0"/>
                <w:sz w:val="24"/>
                <w:szCs w:val="24"/>
                <w:u w:val="none"/>
                <w:lang w:val="en-US" w:eastAsia="zh-CN"/>
              </w:rPr>
              <w:t>312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w:t>
            </w:r>
            <w:r>
              <w:rPr>
                <w:rFonts w:hint="eastAsia"/>
                <w:color w:val="000000"/>
                <w:sz w:val="22"/>
                <w:szCs w:val="22"/>
                <w:u w:val="none"/>
                <w:lang w:val="en-US" w:eastAsia="zh-CN"/>
              </w:rPr>
              <w:t>1</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w:t>
            </w:r>
            <w:r>
              <w:rPr>
                <w:rFonts w:hint="eastAsia"/>
                <w:color w:val="000000"/>
                <w:sz w:val="22"/>
                <w:szCs w:val="22"/>
                <w:u w:val="none"/>
                <w:lang w:val="en-US" w:eastAsia="zh-CN"/>
              </w:rPr>
              <w:t>1</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202</w:t>
            </w:r>
            <w:r>
              <w:rPr>
                <w:rFonts w:hint="eastAsia"/>
                <w:color w:val="000000"/>
                <w:sz w:val="22"/>
                <w:szCs w:val="22"/>
                <w:u w:val="none"/>
                <w:lang w:val="en-US" w:eastAsia="zh-CN"/>
              </w:rPr>
              <w:t>6</w:t>
            </w:r>
            <w:r>
              <w:rPr>
                <w:rFonts w:hint="eastAsia"/>
                <w:color w:val="000000"/>
                <w:sz w:val="22"/>
                <w:szCs w:val="22"/>
                <w:u w:val="none"/>
              </w:rPr>
              <w:t>年</w:t>
            </w:r>
            <w:r>
              <w:rPr>
                <w:rFonts w:hint="eastAsia"/>
                <w:color w:val="000000"/>
                <w:sz w:val="22"/>
                <w:szCs w:val="22"/>
                <w:u w:val="none"/>
                <w:lang w:val="en-US" w:eastAsia="zh-CN"/>
              </w:rPr>
              <w:t>0</w:t>
            </w:r>
            <w:r>
              <w:rPr>
                <w:rFonts w:hint="eastAsia"/>
                <w:color w:val="000000"/>
                <w:sz w:val="22"/>
                <w:szCs w:val="22"/>
                <w:u w:val="none"/>
                <w:lang w:val="en-US" w:eastAsia="zh-CN"/>
              </w:rPr>
              <w:t>1</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rPr>
              <w:t>20</w:t>
            </w:r>
            <w:r>
              <w:rPr>
                <w:rFonts w:hint="eastAsia"/>
                <w:color w:val="000000"/>
                <w:sz w:val="22"/>
                <w:szCs w:val="22"/>
                <w:u w:val="none"/>
                <w:lang w:val="en-US" w:eastAsia="zh-CN"/>
              </w:rPr>
              <w:t>2</w:t>
            </w:r>
            <w:r>
              <w:rPr>
                <w:rFonts w:hint="eastAsia"/>
                <w:color w:val="000000"/>
                <w:sz w:val="22"/>
                <w:szCs w:val="22"/>
                <w:u w:val="none"/>
                <w:lang w:val="en-US" w:eastAsia="zh-CN"/>
              </w:rPr>
              <w:t>7</w:t>
            </w:r>
            <w:r>
              <w:rPr>
                <w:rFonts w:hint="eastAsia"/>
                <w:color w:val="000000"/>
                <w:sz w:val="22"/>
                <w:szCs w:val="22"/>
                <w:u w:val="none"/>
              </w:rPr>
              <w:t>年</w:t>
            </w:r>
            <w:r>
              <w:rPr>
                <w:rFonts w:hint="eastAsia"/>
                <w:color w:val="000000"/>
                <w:sz w:val="22"/>
                <w:szCs w:val="22"/>
                <w:u w:val="none"/>
                <w:lang w:val="en-US" w:eastAsia="zh-CN"/>
              </w:rPr>
              <w:t>0</w:t>
            </w:r>
            <w:r>
              <w:rPr>
                <w:rFonts w:hint="eastAsia"/>
                <w:color w:val="000000"/>
                <w:sz w:val="22"/>
                <w:szCs w:val="22"/>
                <w:u w:val="none"/>
                <w:lang w:val="en-US" w:eastAsia="zh-CN"/>
              </w:rPr>
              <w:t>2</w:t>
            </w:r>
            <w:r>
              <w:rPr>
                <w:rFonts w:hint="eastAsia"/>
                <w:color w:val="000000"/>
                <w:sz w:val="22"/>
                <w:szCs w:val="22"/>
                <w:u w:val="none"/>
              </w:rPr>
              <w:t>月</w:t>
            </w:r>
            <w:r>
              <w:rPr>
                <w:rFonts w:hint="eastAsia"/>
                <w:color w:val="000000"/>
                <w:sz w:val="22"/>
                <w:szCs w:val="22"/>
                <w:u w:val="none"/>
                <w:lang w:val="en-US" w:eastAsia="zh-CN"/>
              </w:rPr>
              <w:t>17</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w:t>
            </w:r>
            <w:r>
              <w:rPr>
                <w:rFonts w:hint="eastAsia"/>
                <w:color w:val="000000"/>
                <w:sz w:val="22"/>
                <w:szCs w:val="22"/>
                <w:u w:val="none"/>
                <w:lang w:val="en-US" w:eastAsia="zh-CN"/>
              </w:rPr>
              <w:t>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人民银行</w:t>
            </w:r>
            <w:r>
              <w:rPr>
                <w:rFonts w:hint="eastAsia" w:ascii="宋体" w:hAnsi="宋体" w:cs="宋体"/>
                <w:color w:val="000000"/>
                <w:kern w:val="0"/>
                <w:sz w:val="24"/>
                <w:szCs w:val="24"/>
                <w:u w:val="none"/>
                <w:lang w:eastAsia="zh-CN"/>
              </w:rPr>
              <w:t>一年定期</w:t>
            </w:r>
            <w:r>
              <w:rPr>
                <w:rFonts w:ascii="宋体" w:hAnsi="宋体" w:cs="宋体"/>
                <w:color w:val="000000"/>
                <w:kern w:val="0"/>
                <w:sz w:val="24"/>
                <w:szCs w:val="24"/>
                <w:u w:val="none"/>
              </w:rPr>
              <w:t>存款利率（</w:t>
            </w:r>
            <w:r>
              <w:rPr>
                <w:rFonts w:hint="eastAsia" w:ascii="宋体" w:hAnsi="宋体" w:cs="宋体"/>
                <w:color w:val="000000"/>
                <w:kern w:val="0"/>
                <w:sz w:val="24"/>
                <w:szCs w:val="24"/>
                <w:u w:val="none"/>
                <w:lang w:val="en-US" w:eastAsia="zh-CN"/>
              </w:rPr>
              <w:t>1.50</w:t>
            </w:r>
            <w:r>
              <w:rPr>
                <w:rFonts w:ascii="宋体" w:hAnsi="宋体" w:cs="宋体"/>
                <w:color w:val="000000"/>
                <w:kern w:val="0"/>
                <w:sz w:val="24"/>
                <w:szCs w:val="24"/>
                <w:u w:val="none"/>
              </w:rPr>
              <w:t>%）+</w:t>
            </w:r>
            <w:r>
              <w:rPr>
                <w:rFonts w:hint="eastAsia" w:ascii="宋体" w:hAnsi="宋体" w:cs="宋体"/>
                <w:color w:val="000000"/>
                <w:kern w:val="0"/>
                <w:sz w:val="24"/>
                <w:szCs w:val="24"/>
                <w:u w:val="none"/>
                <w:lang w:eastAsia="zh-CN"/>
              </w:rPr>
              <w:t>（</w:t>
            </w:r>
            <w:r>
              <w:rPr>
                <w:rFonts w:hint="eastAsia" w:ascii="宋体" w:hAnsi="宋体" w:cs="宋体"/>
                <w:color w:val="000000"/>
                <w:kern w:val="0"/>
                <w:sz w:val="24"/>
                <w:szCs w:val="24"/>
                <w:u w:val="none"/>
                <w:lang w:val="en-US" w:eastAsia="zh-CN"/>
              </w:rPr>
              <w:t>0.</w:t>
            </w:r>
            <w:r>
              <w:rPr>
                <w:rFonts w:hint="eastAsia" w:ascii="宋体" w:hAnsi="宋体" w:cs="宋体"/>
                <w:color w:val="000000"/>
                <w:kern w:val="0"/>
                <w:sz w:val="24"/>
                <w:szCs w:val="24"/>
                <w:u w:val="none"/>
                <w:lang w:val="en-US" w:eastAsia="zh-CN"/>
              </w:rPr>
              <w:t>25</w:t>
            </w:r>
            <w:r>
              <w:rPr>
                <w:rFonts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-1.</w:t>
            </w:r>
            <w:r>
              <w:rPr>
                <w:rFonts w:hint="eastAsia" w:ascii="宋体" w:hAnsi="宋体" w:cs="宋体"/>
                <w:color w:val="000000"/>
                <w:kern w:val="0"/>
                <w:sz w:val="24"/>
                <w:szCs w:val="24"/>
                <w:u w:val="none"/>
                <w:lang w:val="en-US" w:eastAsia="zh-CN"/>
              </w:rPr>
              <w:t>25</w:t>
            </w:r>
            <w:r>
              <w:rPr>
                <w:rFonts w:hint="eastAsia" w:ascii="宋体" w:hAnsi="宋体" w:cs="宋体"/>
                <w:color w:val="000000"/>
                <w:kern w:val="0"/>
                <w:sz w:val="24"/>
                <w:szCs w:val="24"/>
                <w:u w:val="none"/>
                <w:lang w:val="en-US" w:eastAsia="zh-CN"/>
              </w:rPr>
              <w:t>%）</w:t>
            </w:r>
            <w:r>
              <w:rPr>
                <w:rFonts w:hint="eastAsia" w:ascii="宋体" w:hAnsi="宋体" w:cs="宋体"/>
                <w:color w:val="000000"/>
                <w:kern w:val="0"/>
                <w:sz w:val="24"/>
                <w:szCs w:val="24"/>
                <w:u w:val="none"/>
                <w:lang w:eastAsia="zh-CN"/>
              </w:rPr>
              <w:t>】</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1.</w:t>
            </w:r>
            <w:r>
              <w:rPr>
                <w:rFonts w:hint="eastAsia" w:ascii="宋体" w:hAnsi="宋体" w:cs="宋体"/>
                <w:color w:val="000000"/>
                <w:kern w:val="0"/>
                <w:sz w:val="24"/>
                <w:szCs w:val="24"/>
                <w:u w:val="none"/>
                <w:lang w:val="en-US" w:eastAsia="zh-CN"/>
              </w:rPr>
              <w:t>75</w:t>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lang w:val="en-US" w:eastAsia="zh-CN"/>
              </w:rPr>
              <w:t>75</w:t>
            </w:r>
            <w:bookmarkStart w:id="8" w:name="_GoBack"/>
            <w:bookmarkEnd w:id="8"/>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w:pict>
          <v:rect id="矩形 17" o:spid="_x0000_s1026" o:spt="1" style="position:absolute;left:0pt;margin-left:58.85pt;margin-top:1.05pt;height:39.1pt;width:294.8pt;z-index:251659264;mso-width-relative:page;mso-height-relative:page;" fillcolor="#FFFFFF" filled="t" o:preferrelative="t" stroked="t" coordsize="21600,21600">
            <v:path/>
            <v:fill type="gradient" on="t" color2="#FFFFFF" colors="0f #FFFFFF;65536f #FFFFFF" angle="-90" focus="0%" focussize="0f,0f" focusposition="0f,0f"/>
            <v:stroke color="#000000" color2="#FFFFFF" miterlimit="2"/>
            <v:imagedata gain="65536f" blacklevel="0f" gamma="0" o:title=""/>
            <o:lock v:ext="edit" position="f" selection="f" grouping="f" rotation="f" cropping="f" text="f" aspectratio="f"/>
            <v:textbox>
              <w:txbxContent>
                <w:p>
                  <w:r>
                    <w:rPr>
                      <w:rFonts w:hint="eastAsia" w:ascii="仿宋_GB2312" w:hAnsi="Arial" w:eastAsia="仿宋_GB2312" w:cs="Arial"/>
                      <w:b/>
                      <w:sz w:val="32"/>
                      <w:szCs w:val="32"/>
                    </w:rPr>
                    <w:t>理财非存款、产品有风险、投资须谨慎！</w:t>
                  </w:r>
                </w:p>
              </w:txbxContent>
            </v:textbox>
          </v:rect>
        </w:pic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w:t>
            </w:r>
            <w:r>
              <w:rPr>
                <w:rFonts w:hint="eastAsia" w:eastAsia="楷体_GB2312"/>
                <w:lang w:eastAsia="zh-CN"/>
              </w:rPr>
              <w:t>常熟农商银行发布的公告</w:t>
            </w:r>
            <w:r>
              <w:rPr>
                <w:rFonts w:hint="eastAsia" w:eastAsia="楷体_GB2312"/>
              </w:rPr>
              <w:t>。</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固定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认购费：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申购费</w:t>
            </w:r>
            <w:r>
              <w:rPr>
                <w:rFonts w:hint="eastAsia" w:ascii="楷体_GB2312" w:hAnsi="Times New Roman" w:eastAsia="楷体_GB2312"/>
                <w:b/>
                <w:bCs/>
                <w:u w:val="single"/>
              </w:rPr>
              <w:t>：</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rPr>
              <w:t>赎回费：</w:t>
            </w:r>
            <w:r>
              <w:rPr>
                <w:rFonts w:ascii="楷体_GB2312" w:hAnsi="Times New Roman" w:eastAsia="楷体_GB2312"/>
                <w:b/>
                <w:bCs/>
                <w:u w:val="single"/>
              </w:rPr>
              <w:t>0%/</w:t>
            </w:r>
            <w:r>
              <w:rPr>
                <w:rFonts w:hint="eastAsia" w:ascii="楷体_GB2312" w:hAnsi="Times New Roman" w:eastAsia="楷体_GB2312"/>
                <w:b/>
                <w:bCs/>
                <w:u w:val="single"/>
              </w:rPr>
              <w:t>年</w:t>
            </w:r>
            <w:r>
              <w:rPr>
                <w:rFonts w:hint="eastAsia" w:ascii="楷体_GB2312" w:hAnsi="Times New Roman" w:eastAsia="楷体_GB2312"/>
                <w:b/>
                <w:bCs/>
              </w:rPr>
              <w:t>；</w:t>
            </w:r>
          </w:p>
          <w:p>
            <w:pPr>
              <w:numPr>
                <w:ilvl w:val="0"/>
                <w:numId w:val="1"/>
              </w:numPr>
              <w:snapToGrid w:val="0"/>
              <w:spacing w:line="360" w:lineRule="exact"/>
              <w:rPr>
                <w:rFonts w:ascii="楷体_GB2312" w:hAnsi="Times New Roman" w:eastAsia="楷体_GB2312"/>
                <w:b/>
                <w:bCs/>
              </w:rPr>
            </w:pPr>
            <w:r>
              <w:rPr>
                <w:rFonts w:hint="eastAsia" w:ascii="楷体_GB2312" w:hAnsi="Times New Roman" w:eastAsia="楷体_GB2312"/>
                <w:b/>
                <w:bCs/>
                <w:lang w:eastAsia="zh-CN"/>
              </w:rPr>
              <w:t>固定</w:t>
            </w:r>
            <w:r>
              <w:rPr>
                <w:rFonts w:hint="eastAsia" w:ascii="楷体_GB2312" w:hAnsi="Times New Roman" w:eastAsia="楷体_GB2312"/>
                <w:b/>
                <w:bCs/>
              </w:rPr>
              <w:t>管理费、托管费：</w:t>
            </w:r>
          </w:p>
          <w:p>
            <w:pPr>
              <w:spacing w:line="360" w:lineRule="exact"/>
              <w:rPr>
                <w:rFonts w:ascii="楷体_GB2312"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0.5%/</w:t>
            </w:r>
            <w:r>
              <w:rPr>
                <w:rFonts w:hint="eastAsia" w:ascii="楷体_GB2312" w:hAnsi="Times New Roman" w:eastAsia="楷体_GB2312"/>
                <w:b/>
                <w:bCs/>
                <w:u w:val="single"/>
              </w:rPr>
              <w:t>年</w:t>
            </w:r>
            <w:r>
              <w:rPr>
                <w:rFonts w:hint="eastAsia" w:ascii="楷体_GB2312" w:hAnsi="Times New Roman" w:eastAsia="楷体_GB2312"/>
                <w:b/>
                <w:bCs/>
              </w:rPr>
              <w:t>提取固定管理费</w:t>
            </w:r>
            <w:r>
              <w:rPr>
                <w:rFonts w:hint="eastAsia" w:ascii="楷体_GB2312" w:eastAsia="楷体_GB2312"/>
                <w:b/>
                <w:bCs/>
              </w:rPr>
              <w:t>。</w:t>
            </w:r>
          </w:p>
          <w:p>
            <w:pPr>
              <w:spacing w:line="360" w:lineRule="exact"/>
              <w:rPr>
                <w:rFonts w:ascii="楷体_GB2312" w:hAnsi="Times New Roman" w:eastAsia="楷体_GB2312"/>
                <w:b/>
                <w:bCs/>
              </w:rPr>
            </w:pPr>
            <w:r>
              <w:rPr>
                <w:rFonts w:hint="eastAsia" w:ascii="楷体_GB2312" w:hAnsi="Times New Roman" w:eastAsia="楷体_GB2312"/>
                <w:b/>
                <w:bCs/>
              </w:rPr>
              <w:t>每日计提的固定管理费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0.5</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ascii="楷体_GB2312" w:hAnsi="Times New Roman" w:eastAsia="楷体_GB2312"/>
                <w:b/>
                <w:bCs/>
              </w:rPr>
            </w:pPr>
            <w:r>
              <w:rPr>
                <w:rFonts w:hint="eastAsia" w:ascii="楷体_GB2312" w:hAnsi="Times New Roman" w:eastAsia="楷体_GB2312"/>
                <w:b/>
                <w:bCs/>
              </w:rPr>
              <w:t>本产品按照资产净值的</w:t>
            </w:r>
            <w:r>
              <w:rPr>
                <w:rFonts w:ascii="楷体_GB2312" w:hAnsi="Times New Roman" w:eastAsia="楷体_GB2312"/>
                <w:b/>
                <w:bCs/>
                <w:u w:val="single"/>
              </w:rPr>
              <w:t>0.01%/</w:t>
            </w:r>
            <w:r>
              <w:rPr>
                <w:rFonts w:hint="eastAsia" w:ascii="楷体_GB2312" w:hAnsi="Times New Roman" w:eastAsia="楷体_GB2312"/>
                <w:b/>
                <w:bCs/>
                <w:u w:val="single"/>
              </w:rPr>
              <w:t>年</w:t>
            </w:r>
            <w:r>
              <w:rPr>
                <w:rFonts w:hint="eastAsia" w:ascii="楷体_GB2312" w:hAnsi="Times New Roman" w:eastAsia="楷体_GB2312"/>
                <w:b/>
                <w:bCs/>
              </w:rPr>
              <w:t>提取托管费。</w:t>
            </w:r>
          </w:p>
          <w:p>
            <w:pPr>
              <w:spacing w:line="360" w:lineRule="exact"/>
              <w:rPr>
                <w:rFonts w:ascii="楷体_GB2312" w:hAnsi="Times New Roman" w:eastAsia="楷体_GB2312"/>
                <w:b/>
                <w:bCs/>
              </w:rPr>
            </w:pPr>
            <w:r>
              <w:rPr>
                <w:rFonts w:hint="eastAsia" w:ascii="楷体_GB2312" w:hAnsi="Times New Roman" w:eastAsia="楷体_GB2312"/>
                <w:b/>
                <w:bCs/>
              </w:rPr>
              <w:t>每日计提的托管费</w:t>
            </w:r>
            <w:r>
              <w:rPr>
                <w:rFonts w:ascii="楷体_GB2312" w:hAnsi="Times New Roman" w:eastAsia="楷体_GB2312"/>
                <w:b/>
                <w:bCs/>
              </w:rPr>
              <w:t>=</w:t>
            </w:r>
            <w:r>
              <w:rPr>
                <w:rFonts w:hint="eastAsia" w:ascii="楷体_GB2312" w:hAnsi="Times New Roman" w:eastAsia="楷体_GB2312"/>
                <w:b/>
                <w:bCs/>
              </w:rPr>
              <w:t>每日资产净值×</w:t>
            </w:r>
            <w:r>
              <w:rPr>
                <w:rFonts w:ascii="楷体_GB2312" w:hAnsi="Times New Roman" w:eastAsia="楷体_GB2312"/>
                <w:b/>
                <w:bCs/>
                <w:u w:val="single"/>
              </w:rPr>
              <w:t>0.01</w:t>
            </w:r>
            <w:r>
              <w:rPr>
                <w:rFonts w:ascii="楷体_GB2312" w:hAnsi="Times New Roman" w:eastAsia="楷体_GB2312"/>
                <w:b/>
                <w:bCs/>
              </w:rPr>
              <w:t>%</w:t>
            </w:r>
            <w:r>
              <w:rPr>
                <w:rFonts w:hint="eastAsia" w:ascii="楷体_GB2312" w:hAnsi="Times New Roman" w:eastAsia="楷体_GB2312"/>
                <w:b/>
                <w:bCs/>
              </w:rPr>
              <w:t>／</w:t>
            </w:r>
            <w:r>
              <w:rPr>
                <w:rFonts w:ascii="楷体_GB2312" w:hAnsi="Times New Roman" w:eastAsia="楷体_GB2312"/>
                <w:b/>
                <w:bCs/>
              </w:rPr>
              <w:t>365</w:t>
            </w:r>
          </w:p>
          <w:p>
            <w:pPr>
              <w:spacing w:line="360" w:lineRule="exact"/>
              <w:rPr>
                <w:rFonts w:hint="eastAsia" w:ascii="楷体_GB2312" w:hAnsi="Times New Roman" w:eastAsia="楷体_GB2312"/>
                <w:b/>
                <w:bCs/>
              </w:rPr>
            </w:pPr>
            <w:r>
              <w:rPr>
                <w:rFonts w:hint="eastAsia" w:ascii="楷体_GB2312" w:hAnsi="Times New Roman" w:eastAsia="楷体_GB2312"/>
                <w:b/>
                <w:bCs/>
              </w:rPr>
              <w:t>产品固定管理费、托管费每日计提</w:t>
            </w:r>
            <w:r>
              <w:rPr>
                <w:rFonts w:hint="eastAsia"/>
                <w:b/>
                <w:bCs/>
              </w:rPr>
              <w:t>，</w:t>
            </w:r>
            <w:r>
              <w:rPr>
                <w:rFonts w:hint="eastAsia" w:ascii="楷体_GB2312" w:hAnsi="Times New Roman" w:eastAsia="楷体_GB2312"/>
                <w:b/>
                <w:bCs/>
              </w:rPr>
              <w:t>管理人有权根据实际情况自行提取固定管理费。</w:t>
            </w:r>
          </w:p>
          <w:p>
            <w:pPr>
              <w:spacing w:line="360" w:lineRule="exact"/>
              <w:rPr>
                <w:rFonts w:hint="eastAsia" w:ascii="楷体_GB2312" w:hAnsi="Times New Roman" w:eastAsia="楷体_GB2312"/>
                <w:b/>
                <w:bCs/>
              </w:rPr>
            </w:pPr>
            <w:r>
              <w:rPr>
                <w:rFonts w:hint="eastAsia" w:ascii="楷体_GB2312" w:hAnsi="Times New Roman" w:eastAsia="楷体_GB2312"/>
                <w:b/>
                <w:bCs/>
                <w:lang w:val="en-US" w:eastAsia="zh-CN"/>
              </w:rPr>
              <w:t>5、</w:t>
            </w:r>
            <w:r>
              <w:rPr>
                <w:rFonts w:hint="eastAsia" w:eastAsia="楷体_GB2312"/>
                <w:b/>
                <w:bCs/>
                <w:lang w:val="en-US" w:eastAsia="zh-CN"/>
              </w:rPr>
              <w:t>超额</w:t>
            </w:r>
            <w:r>
              <w:rPr>
                <w:rFonts w:hint="eastAsia" w:eastAsia="楷体_GB2312"/>
                <w:b/>
                <w:bCs/>
              </w:rPr>
              <w:t>业绩报酬：如产品收益（扣除固定管理费</w:t>
            </w:r>
            <w:r>
              <w:rPr>
                <w:rFonts w:hint="eastAsia" w:eastAsia="楷体_GB2312"/>
                <w:b/>
                <w:bCs/>
                <w:lang w:eastAsia="zh-CN"/>
              </w:rPr>
              <w:t>、</w:t>
            </w:r>
            <w:r>
              <w:rPr>
                <w:rFonts w:hint="eastAsia" w:eastAsia="楷体_GB2312"/>
                <w:b/>
                <w:bCs/>
              </w:rPr>
              <w:t>托管费等相关费用）超过业绩</w:t>
            </w:r>
            <w:r>
              <w:rPr>
                <w:rFonts w:hint="eastAsia" w:eastAsia="楷体_GB2312"/>
                <w:b/>
                <w:bCs/>
                <w:lang w:val="en-US" w:eastAsia="zh-CN"/>
              </w:rPr>
              <w:t>比较</w:t>
            </w:r>
            <w:r>
              <w:rPr>
                <w:rFonts w:hint="eastAsia" w:eastAsia="楷体_GB2312"/>
                <w:b/>
                <w:bCs/>
              </w:rPr>
              <w:t>基准</w:t>
            </w:r>
            <w:r>
              <w:rPr>
                <w:rFonts w:hint="eastAsia" w:eastAsia="楷体_GB2312"/>
                <w:b/>
                <w:bCs/>
                <w:lang w:eastAsia="zh-CN"/>
              </w:rPr>
              <w:t>下限</w:t>
            </w:r>
            <w:r>
              <w:rPr>
                <w:rFonts w:hint="eastAsia" w:eastAsia="楷体_GB2312"/>
                <w:b/>
                <w:bCs/>
                <w:lang w:val="en-US" w:eastAsia="zh-CN"/>
              </w:rPr>
              <w:t>的</w:t>
            </w:r>
            <w:r>
              <w:rPr>
                <w:rFonts w:hint="eastAsia" w:eastAsia="楷体_GB2312"/>
                <w:b/>
                <w:bCs/>
              </w:rPr>
              <w:t>，</w:t>
            </w:r>
            <w:r>
              <w:rPr>
                <w:rFonts w:hint="eastAsia" w:ascii="Times New Roman" w:hAnsi="Times New Roman" w:eastAsia="楷体_GB2312"/>
                <w:b/>
                <w:bCs/>
              </w:rPr>
              <w:t>超</w:t>
            </w:r>
            <w:r>
              <w:rPr>
                <w:rFonts w:hint="eastAsia" w:ascii="Times New Roman" w:hAnsi="Times New Roman" w:eastAsia="楷体_GB2312"/>
                <w:b/>
                <w:bCs/>
                <w:lang w:val="en-US" w:eastAsia="zh-CN"/>
              </w:rPr>
              <w:t>过</w:t>
            </w:r>
            <w:r>
              <w:rPr>
                <w:rFonts w:hint="eastAsia" w:ascii="Times New Roman" w:hAnsi="Times New Roman" w:eastAsia="楷体_GB2312"/>
                <w:b/>
                <w:bCs/>
              </w:rPr>
              <w:t>部分的8</w:t>
            </w:r>
            <w:r>
              <w:rPr>
                <w:rFonts w:ascii="Times New Roman" w:hAnsi="Times New Roman" w:eastAsia="楷体_GB2312"/>
                <w:b/>
                <w:bCs/>
              </w:rPr>
              <w:t>0</w:t>
            </w:r>
            <w:r>
              <w:rPr>
                <w:rFonts w:hint="eastAsia" w:ascii="Times New Roman" w:hAnsi="Times New Roman" w:eastAsia="楷体_GB2312"/>
                <w:b/>
                <w:bCs/>
              </w:rPr>
              <w:t>%作为</w:t>
            </w:r>
            <w:r>
              <w:rPr>
                <w:rFonts w:hint="eastAsia" w:ascii="Times New Roman" w:hAnsi="Times New Roman" w:eastAsia="楷体_GB2312"/>
                <w:b/>
                <w:bCs/>
                <w:lang w:val="en-US" w:eastAsia="zh-CN"/>
              </w:rPr>
              <w:t>超额</w:t>
            </w:r>
            <w:r>
              <w:rPr>
                <w:rFonts w:hint="eastAsia" w:ascii="Times New Roman" w:hAnsi="Times New Roman" w:eastAsia="楷体_GB2312"/>
                <w:b/>
                <w:bCs/>
              </w:rPr>
              <w:t>业绩报酬由管理人收取</w:t>
            </w:r>
            <w:r>
              <w:rPr>
                <w:rFonts w:hint="eastAsia" w:ascii="Times New Roman" w:hAnsi="Times New Roman" w:eastAsia="楷体_GB2312"/>
                <w:b/>
                <w:bCs/>
                <w:lang w:eastAsia="zh-CN"/>
              </w:rPr>
              <w:t>，</w:t>
            </w:r>
            <w:r>
              <w:rPr>
                <w:rFonts w:hint="eastAsia" w:ascii="Times New Roman" w:hAnsi="Times New Roman" w:eastAsia="楷体_GB2312"/>
                <w:b/>
                <w:bCs/>
                <w:lang w:val="en-US" w:eastAsia="zh-CN"/>
              </w:rPr>
              <w:t>其余20%归投资者所有</w:t>
            </w:r>
            <w:r>
              <w:rPr>
                <w:rFonts w:hint="eastAsia" w:ascii="Times New Roman" w:hAnsi="Times New Roman" w:eastAsia="楷体_GB2312"/>
                <w:b/>
                <w:bCs/>
              </w:rPr>
              <w:t>。</w:t>
            </w:r>
          </w:p>
          <w:p>
            <w:pPr>
              <w:spacing w:line="360" w:lineRule="exact"/>
              <w:rPr>
                <w:rFonts w:ascii="Times New Roman" w:hAnsi="Times New Roman" w:eastAsia="楷体_GB2312"/>
              </w:rPr>
            </w:pPr>
            <w:r>
              <w:rPr>
                <w:rFonts w:hint="eastAsia" w:ascii="楷体_GB2312" w:hAnsi="Times New Roman" w:eastAsia="楷体_GB2312"/>
                <w:lang w:val="en-US" w:eastAsia="zh-CN"/>
              </w:rPr>
              <w:t>6、</w:t>
            </w:r>
            <w:r>
              <w:rPr>
                <w:rFonts w:hint="eastAsia" w:ascii="楷体_GB2312" w:hAnsi="Times New Roman" w:eastAsia="楷体_GB2312"/>
              </w:rPr>
              <w:t>其他费用详见本产品说明书第三部分“产品的相关费用及收益与分配”。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w:t>
      </w:r>
      <w:r>
        <w:rPr>
          <w:rFonts w:hint="eastAsia" w:eastAsia="楷体_GB2312"/>
          <w:lang w:eastAsia="zh-CN"/>
        </w:rPr>
        <w:t>详见常熟农商银行各理财销售渠道</w:t>
      </w:r>
      <w:r>
        <w:rPr>
          <w:rFonts w:hint="eastAsia" w:eastAsia="楷体_GB2312"/>
        </w:rPr>
        <w:t>：</w:t>
      </w:r>
    </w:p>
    <w:tbl>
      <w:tblPr>
        <w:tblStyle w:val="12"/>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hint="eastAsia" w:eastAsia="楷体_GB2312"/>
          <w:b/>
          <w:bCs/>
        </w:rPr>
      </w:pPr>
      <w:r>
        <w:rPr>
          <w:rFonts w:eastAsia="楷体_GB2312"/>
        </w:rPr>
        <w:t>2</w:t>
      </w:r>
      <w:r>
        <w:rPr>
          <w:rFonts w:hint="eastAsia" w:eastAsia="楷体_GB2312"/>
        </w:rPr>
        <w:t>、业绩比较基准（</w:t>
      </w:r>
      <w:r>
        <w:rPr>
          <w:rFonts w:hint="eastAsia" w:eastAsia="楷体_GB2312"/>
          <w:lang w:eastAsia="zh-CN"/>
        </w:rPr>
        <w:t>【</w:t>
      </w:r>
      <w:r>
        <w:rPr>
          <w:rFonts w:eastAsia="楷体_GB2312"/>
        </w:rPr>
        <w:t>R</w:t>
      </w:r>
      <w:r>
        <w:rPr>
          <w:rFonts w:hint="eastAsia" w:eastAsia="楷体_GB2312"/>
          <w:lang w:val="en-US" w:eastAsia="zh-CN"/>
        </w:rPr>
        <w:t>1-R2</w:t>
      </w:r>
      <w:r>
        <w:rPr>
          <w:rFonts w:hint="eastAsia" w:eastAsia="楷体_GB2312"/>
          <w:lang w:eastAsia="zh-CN"/>
        </w:rPr>
        <w:t>】</w:t>
      </w:r>
      <w:r>
        <w:rPr>
          <w:rFonts w:hint="eastAsia" w:eastAsia="楷体_GB2312"/>
        </w:rPr>
        <w:t>）：募集期及开放期内业绩比较基准详见常熟农商银行</w:t>
      </w:r>
      <w:r>
        <w:rPr>
          <w:rFonts w:hint="eastAsia" w:eastAsia="楷体_GB2312"/>
          <w:lang w:eastAsia="zh-CN"/>
        </w:rPr>
        <w:t>各理财销售渠道</w:t>
      </w:r>
      <w:r>
        <w:rPr>
          <w:rFonts w:hint="eastAsia" w:eastAsia="楷体_GB2312"/>
        </w:rPr>
        <w:t>。</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hint="default" w:eastAsia="楷体_GB2312"/>
          <w:b w:val="0"/>
          <w:bCs w:val="0"/>
          <w:lang w:val="en-US" w:eastAsia="zh-CN"/>
        </w:rPr>
      </w:pPr>
      <w:r>
        <w:rPr>
          <w:rFonts w:hint="eastAsia" w:eastAsia="楷体_GB2312"/>
          <w:b w:val="0"/>
          <w:bCs w:val="0"/>
          <w:lang w:val="en-US" w:eastAsia="zh-CN"/>
        </w:rPr>
        <w:t>R1为本理财产品业绩比较基准下限，R2为本理财产品业绩比较基准上限。</w:t>
      </w:r>
    </w:p>
    <w:p>
      <w:pPr>
        <w:snapToGrid w:val="0"/>
        <w:spacing w:line="360" w:lineRule="atLeast"/>
        <w:ind w:left="19" w:firstLine="338" w:firstLineChars="161"/>
        <w:rPr>
          <w:rFonts w:eastAsia="楷体_GB2312"/>
        </w:rPr>
      </w:pPr>
      <w:r>
        <w:rPr>
          <w:rFonts w:eastAsia="楷体_GB2312"/>
        </w:rPr>
        <w:t>3</w:t>
      </w:r>
      <w:r>
        <w:rPr>
          <w:rFonts w:hint="eastAsia" w:eastAsia="楷体_GB2312"/>
        </w:rPr>
        <w:t>、</w:t>
      </w:r>
      <w:r>
        <w:rPr>
          <w:rFonts w:hint="eastAsia" w:eastAsia="楷体_GB2312"/>
          <w:lang w:val="en-US" w:eastAsia="zh-CN"/>
        </w:rPr>
        <w:t>超额</w:t>
      </w:r>
      <w:r>
        <w:rPr>
          <w:rFonts w:hint="eastAsia" w:eastAsia="楷体_GB2312"/>
        </w:rPr>
        <w:t>业绩报酬：如产品收益（扣除固定管理费</w:t>
      </w:r>
      <w:r>
        <w:rPr>
          <w:rFonts w:hint="eastAsia" w:eastAsia="楷体_GB2312"/>
          <w:lang w:eastAsia="zh-CN"/>
        </w:rPr>
        <w:t>、</w:t>
      </w:r>
      <w:r>
        <w:rPr>
          <w:rFonts w:hint="eastAsia" w:eastAsia="楷体_GB2312"/>
        </w:rPr>
        <w:t>托管费等相关费用）超过业绩</w:t>
      </w:r>
      <w:r>
        <w:rPr>
          <w:rFonts w:hint="eastAsia" w:eastAsia="楷体_GB2312"/>
          <w:lang w:val="en-US" w:eastAsia="zh-CN"/>
        </w:rPr>
        <w:t>比较</w:t>
      </w:r>
      <w:r>
        <w:rPr>
          <w:rFonts w:hint="eastAsia" w:eastAsia="楷体_GB2312"/>
        </w:rPr>
        <w:t>基准</w:t>
      </w:r>
      <w:r>
        <w:rPr>
          <w:rFonts w:hint="eastAsia" w:eastAsia="楷体_GB2312"/>
          <w:lang w:eastAsia="zh-CN"/>
        </w:rPr>
        <w:t>下限</w:t>
      </w:r>
      <w:r>
        <w:rPr>
          <w:rFonts w:hint="eastAsia" w:eastAsia="楷体_GB2312"/>
          <w:lang w:val="en-US" w:eastAsia="zh-CN"/>
        </w:rPr>
        <w:t>R1</w:t>
      </w:r>
      <w:r>
        <w:rPr>
          <w:rFonts w:hint="eastAsia" w:eastAsia="楷体_GB2312"/>
        </w:rPr>
        <w:t>时，</w:t>
      </w:r>
      <w:r>
        <w:rPr>
          <w:rFonts w:hint="eastAsia" w:ascii="Times New Roman" w:hAnsi="Times New Roman" w:eastAsia="楷体_GB2312"/>
        </w:rPr>
        <w:t>超</w:t>
      </w:r>
      <w:r>
        <w:rPr>
          <w:rFonts w:hint="eastAsia" w:ascii="Times New Roman" w:hAnsi="Times New Roman" w:eastAsia="楷体_GB2312"/>
          <w:lang w:val="en-US" w:eastAsia="zh-CN"/>
        </w:rPr>
        <w:t>过</w:t>
      </w:r>
      <w:r>
        <w:rPr>
          <w:rFonts w:hint="eastAsia" w:ascii="Times New Roman" w:hAnsi="Times New Roman" w:eastAsia="楷体_GB2312"/>
        </w:rPr>
        <w:t>部分的8</w:t>
      </w:r>
      <w:r>
        <w:rPr>
          <w:rFonts w:ascii="Times New Roman" w:hAnsi="Times New Roman" w:eastAsia="楷体_GB2312"/>
        </w:rPr>
        <w:t>0</w:t>
      </w:r>
      <w:r>
        <w:rPr>
          <w:rFonts w:hint="eastAsia" w:ascii="Times New Roman" w:hAnsi="Times New Roman" w:eastAsia="楷体_GB2312"/>
        </w:rPr>
        <w:t>%作为</w:t>
      </w:r>
      <w:r>
        <w:rPr>
          <w:rFonts w:hint="eastAsia" w:ascii="Times New Roman" w:hAnsi="Times New Roman" w:eastAsia="楷体_GB2312"/>
          <w:lang w:val="en-US" w:eastAsia="zh-CN"/>
        </w:rPr>
        <w:t>超额</w:t>
      </w:r>
      <w:r>
        <w:rPr>
          <w:rFonts w:hint="eastAsia" w:ascii="Times New Roman" w:hAnsi="Times New Roman" w:eastAsia="楷体_GB2312"/>
        </w:rPr>
        <w:t>业绩报酬由管理人收取</w:t>
      </w:r>
      <w:r>
        <w:rPr>
          <w:rFonts w:hint="eastAsia" w:ascii="Times New Roman" w:hAnsi="Times New Roman" w:eastAsia="楷体_GB2312"/>
          <w:b w:val="0"/>
          <w:bCs w:val="0"/>
          <w:lang w:eastAsia="zh-CN"/>
        </w:rPr>
        <w:t>，</w:t>
      </w:r>
      <w:r>
        <w:rPr>
          <w:rFonts w:hint="eastAsia" w:ascii="Times New Roman" w:hAnsi="Times New Roman" w:eastAsia="楷体_GB2312"/>
          <w:b w:val="0"/>
          <w:bCs w:val="0"/>
          <w:lang w:val="en-US" w:eastAsia="zh-CN"/>
        </w:rPr>
        <w:t>其余20%归投资者所有</w:t>
      </w:r>
      <w:r>
        <w:rPr>
          <w:rFonts w:hint="eastAsia" w:ascii="Times New Roman" w:hAnsi="Times New Roman" w:eastAsia="楷体_GB2312"/>
        </w:rPr>
        <w:t>。</w:t>
      </w:r>
    </w:p>
    <w:p>
      <w:pPr>
        <w:snapToGrid w:val="0"/>
        <w:spacing w:line="360" w:lineRule="atLeast"/>
        <w:ind w:firstLine="420" w:firstLineChars="200"/>
        <w:rPr>
          <w:rFonts w:eastAsia="楷体_GB2312"/>
        </w:rPr>
      </w:pPr>
      <w:r>
        <w:rPr>
          <w:rFonts w:hint="eastAsia" w:eastAsia="楷体_GB2312"/>
        </w:rPr>
        <w:t>扣除固定管理费</w:t>
      </w:r>
      <w:r>
        <w:rPr>
          <w:rFonts w:hint="eastAsia" w:eastAsia="楷体_GB2312"/>
          <w:lang w:eastAsia="zh-CN"/>
        </w:rPr>
        <w:t>、</w:t>
      </w:r>
      <w:r>
        <w:rPr>
          <w:rFonts w:hint="eastAsia" w:eastAsia="楷体_GB2312"/>
        </w:rPr>
        <w:t>托管费等相关费用后，投资者赎回日产品收益率（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lang w:val="en-US" w:eastAsia="zh-CN"/>
        </w:rPr>
        <w:t>1</w:t>
      </w:r>
      <w:r>
        <w:rPr>
          <w:rFonts w:hint="eastAsia" w:eastAsia="楷体_GB2312"/>
        </w:rPr>
        <w:t>，则常熟农商银行实际收取</w:t>
      </w:r>
      <w:r>
        <w:rPr>
          <w:rFonts w:hint="eastAsia" w:eastAsia="楷体_GB2312"/>
          <w:lang w:val="en-US" w:eastAsia="zh-CN"/>
        </w:rPr>
        <w:t>超额</w:t>
      </w:r>
      <w:r>
        <w:rPr>
          <w:rFonts w:hint="eastAsia" w:eastAsia="楷体_GB2312"/>
        </w:rPr>
        <w:t>业绩报酬的年化比率为（</w:t>
      </w:r>
      <w:r>
        <w:rPr>
          <w:rFonts w:eastAsia="楷体_GB2312"/>
        </w:rPr>
        <w:t>r-R</w:t>
      </w:r>
      <w:r>
        <w:rPr>
          <w:rFonts w:hint="eastAsia" w:eastAsia="楷体_GB2312"/>
          <w:lang w:val="en-US" w:eastAsia="zh-CN"/>
        </w:rPr>
        <w:t>1</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w:t>
      </w:r>
      <w:r>
        <w:rPr>
          <w:rFonts w:hint="eastAsia" w:hAnsi="Times New Roman" w:eastAsia="楷体_GB2312" w:asciiTheme="minorAscii"/>
        </w:rPr>
        <w:t>R</w:t>
      </w:r>
      <w:r>
        <w:rPr>
          <w:rFonts w:hint="eastAsia" w:ascii="Times New Roman" w:hAnsi="Times New Roman" w:eastAsia="楷体_GB2312"/>
          <w:lang w:val="en-US" w:eastAsia="zh-CN"/>
        </w:rPr>
        <w:t>1</w:t>
      </w:r>
      <w:r>
        <w:rPr>
          <w:rFonts w:hint="eastAsia" w:ascii="Times New Roman" w:hAnsi="Times New Roman" w:eastAsia="楷体_GB2312"/>
        </w:rPr>
        <w:t>+</w:t>
      </w:r>
      <w:r>
        <w:rPr>
          <w:rFonts w:hint="eastAsia" w:eastAsia="楷体_GB2312"/>
        </w:rPr>
        <w:t>（</w:t>
      </w:r>
      <w:r>
        <w:rPr>
          <w:rFonts w:eastAsia="楷体_GB2312"/>
        </w:rPr>
        <w:t>r-R</w:t>
      </w:r>
      <w:r>
        <w:rPr>
          <w:rFonts w:hint="eastAsia" w:eastAsia="楷体_GB2312"/>
          <w:lang w:val="en-US" w:eastAsia="zh-CN"/>
        </w:rPr>
        <w:t>1</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lang w:val="en-US" w:eastAsia="zh-CN"/>
        </w:rPr>
        <w:t>1</w:t>
      </w:r>
      <w:r>
        <w:rPr>
          <w:rFonts w:hint="eastAsia" w:eastAsia="楷体_GB2312"/>
        </w:rPr>
        <w:t>，投资者实际收益为</w:t>
      </w:r>
      <w:r>
        <w:rPr>
          <w:rFonts w:eastAsia="楷体_GB2312"/>
        </w:rPr>
        <w:t>r</w:t>
      </w:r>
      <w:r>
        <w:rPr>
          <w:rFonts w:hint="eastAsia" w:eastAsia="楷体_GB2312"/>
        </w:rPr>
        <w:t>，常熟农商银行不收取</w:t>
      </w:r>
      <w:r>
        <w:rPr>
          <w:rFonts w:hint="eastAsia" w:eastAsia="楷体_GB2312"/>
          <w:lang w:val="en-US"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w:t>
      </w:r>
      <w:r>
        <w:rPr>
          <w:rFonts w:hint="eastAsia" w:eastAsia="楷体_GB2312"/>
          <w:lang w:val="en-US" w:eastAsia="zh-CN"/>
        </w:rPr>
        <w:t>超额</w:t>
      </w:r>
      <w:r>
        <w:rPr>
          <w:rFonts w:hint="eastAsia" w:eastAsia="楷体_GB2312"/>
        </w:rPr>
        <w:t>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w:t>
      </w:r>
      <w:r>
        <w:rPr>
          <w:rFonts w:hint="eastAsia" w:eastAsia="楷体_GB2312"/>
          <w:lang w:eastAsia="zh-CN"/>
        </w:rPr>
        <w:t>下限</w:t>
      </w:r>
      <w:r>
        <w:rPr>
          <w:rFonts w:hint="eastAsia" w:eastAsia="楷体_GB2312"/>
          <w:lang w:val="en-US" w:eastAsia="zh-CN"/>
        </w:rPr>
        <w:t>R1</w:t>
      </w:r>
      <w:r>
        <w:rPr>
          <w:rFonts w:hint="eastAsia" w:eastAsia="楷体_GB2312"/>
        </w:rPr>
        <w:t>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hint="eastAsia" w:eastAsia="楷体_GB2312"/>
          <w:lang w:eastAsia="zh-CN"/>
        </w:rPr>
        <w:t>下限</w:t>
      </w:r>
      <w:r>
        <w:rPr>
          <w:rFonts w:hint="eastAsia" w:eastAsia="楷体_GB2312"/>
          <w:lang w:val="en-US" w:eastAsia="zh-CN"/>
        </w:rPr>
        <w:t xml:space="preserve">R1 </w:t>
      </w:r>
      <w:r>
        <w:rPr>
          <w:rFonts w:eastAsia="楷体_GB2312"/>
        </w:rPr>
        <w:t>4.50%</w:t>
      </w:r>
      <w:r>
        <w:rPr>
          <w:rFonts w:hint="eastAsia" w:eastAsia="楷体_GB2312"/>
        </w:rPr>
        <w:t>），则常熟农商银行收取</w:t>
      </w:r>
      <w:r>
        <w:rPr>
          <w:rFonts w:eastAsia="楷体_GB2312"/>
        </w:rPr>
        <w:t>1.5%</w:t>
      </w:r>
      <w:r>
        <w:rPr>
          <w:rFonts w:hint="eastAsia" w:eastAsia="楷体_GB2312"/>
        </w:rPr>
        <w:t>的</w:t>
      </w:r>
      <w:r>
        <w:rPr>
          <w:rFonts w:hint="eastAsia" w:eastAsia="楷体_GB2312"/>
          <w:lang w:eastAsia="zh-CN"/>
        </w:rPr>
        <w:t>超额</w:t>
      </w:r>
      <w:r>
        <w:rPr>
          <w:rFonts w:hint="eastAsia" w:eastAsia="楷体_GB2312"/>
        </w:rPr>
        <w:t>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w:t>
      </w:r>
      <w:r>
        <w:rPr>
          <w:rFonts w:hint="eastAsia" w:eastAsia="楷体_GB2312"/>
          <w:lang w:eastAsia="zh-CN"/>
        </w:rPr>
        <w:t>期间</w:t>
      </w:r>
      <w:r>
        <w:rPr>
          <w:rFonts w:hint="eastAsia" w:eastAsia="楷体_GB2312"/>
        </w:rPr>
        <w:t>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w:t>
      </w:r>
      <w:r>
        <w:rPr>
          <w:rFonts w:hint="eastAsia" w:eastAsia="楷体_GB2312"/>
          <w:lang w:eastAsia="zh-CN"/>
        </w:rPr>
        <w:t>超额</w:t>
      </w:r>
      <w:r>
        <w:rPr>
          <w:rFonts w:hint="eastAsia" w:eastAsia="楷体_GB2312"/>
        </w:rPr>
        <w:t>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31"/>
      <w:bookmarkStart w:id="1" w:name="_Toc24442988"/>
      <w:bookmarkStart w:id="2" w:name="_Toc24442816"/>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24442995"/>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w:pict>
          <v:group id="组合 1" o:spid="_x0000_s1027" o:spt="203" style="position:absolute;left:0pt;margin-left:0pt;margin-top:21.6pt;height:140.3pt;width:360.25pt;mso-wrap-distance-bottom:0pt;mso-wrap-distance-top:0pt;z-index:251660288;mso-width-relative:page;mso-height-relative:page;" coordsize="7205,2806">
            <o:lock v:ext="edit" position="f" selection="f" grouping="f" rotation="f" cropping="f" text="f" aspectratio="f"/>
            <v:rect id="矩形 20" o:spid="_x0000_s1028" o:spt="1" style="position:absolute;left:0;top:0;height:2806;width:7205;" fillcolor="#FFFFFF" filled="f" o:preferrelative="t" stroked="f" coordsize="21600,21600">
              <v:path/>
              <v:fill on="f" color2="#FFFFFF" focussize="0,0"/>
              <v:stroke on="f"/>
              <v:imagedata gain="65536f" blacklevel="0f" gamma="0" o:title=""/>
              <o:lock v:ext="edit" position="f" selection="f" grouping="f" rotation="f" cropping="f" text="f" aspectratio="f"/>
            </v:rect>
            <v:group id="Group 4" o:spid="_x0000_s1029" o:spt="203" style="position:absolute;left:0;top:0;height:2806;width:6617;" coordsize="6617,2806">
              <o:lock v:ext="edit" position="f" selection="f" grouping="f" rotation="f" cropping="f" text="f" aspectratio="f"/>
              <v:shape id="自选图形 22" o:spid="_x0000_s1030" o:spt="13" type="#_x0000_t13" style="position:absolute;left:588;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3" o:spid="_x0000_s1031" o:spt="1" style="position:absolute;left:1029;top:0;height:1019;width:58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32" o:spt="13" type="#_x0000_t13" style="position:absolute;left:1617;top:255;height:257;width:442;"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5" o:spid="_x0000_s1033" o:spt="1" style="position:absolute;left:2059;top:0;height:1019;width:1028;"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34" o:spt="13" type="#_x0000_t13" style="position:absolute;left:3088;top:255;height:257;width:441;" fillcolor="#FFFFFF" filled="t" o:preferrelative="t" stroked="t" coordsize="21600,21600" adj="16204,5400">
                <v:path/>
                <v:fill on="t" focussize="0,0"/>
                <v:stroke color="#000000" color2="#FFFFFF" miterlimit="2"/>
                <v:imagedata gain="65536f" blacklevel="0f" gamma="0" o:title=""/>
                <o:lock v:ext="edit" position="f" selection="f" grouping="f" rotation="f" cropping="f" text="f" aspectratio="f"/>
              </v:shape>
              <v:rect id="矩形 27" o:spid="_x0000_s1035" o:spt="1" style="position:absolute;left:3529;top:0;height:1019;width:1176;"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36" o:spt="67" type="#_x0000_t67" style="position:absolute;left:5881;top:1019;height:766;width:148;"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rect id="矩形 29" o:spid="_x0000_s1037" o:spt="1" style="position:absolute;left:5146;top:0;height:1019;width:1471;"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38" o:spt="66" type="#_x0000_t66" style="position:absolute;left:4705;top:2040;height:257;width:440;" fillcolor="#FFFFFF" filled="t" o:preferrelative="t" stroked="t" coordsize="21600,21600" adj="5397,5400">
                <v:path/>
                <v:fill on="t" focussize="0,0"/>
                <v:stroke color="#000000" color2="#FFFFFF" miterlimit="2"/>
                <v:imagedata gain="65536f" blacklevel="0f" gamma="0" o:title=""/>
                <o:lock v:ext="edit" position="f" selection="f" grouping="f" rotation="f" cropping="f" text="f" aspectratio="f"/>
              </v:shape>
              <v:rect id="矩形 31" o:spid="_x0000_s1039" o:spt="1" style="position:absolute;left:5146;top:1785;height:1021;width:1470;"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40" o:spt="1" style="position:absolute;left:3235;top:1785;height:1021;width:146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41" o:spt="1" style="position:absolute;left:0;top:0;height:897;width:589;" fillcolor="#FFFFFF" filled="t" o:preferrelative="t" stroked="t" coordsize="21600,21600">
                <v:path/>
                <v:fill on="t" focussize="0,0"/>
                <v:stroke color="#000000" color2="#FFFFFF" miterlimit="2"/>
                <v:imagedata gain="65536f" blacklevel="0f" gamma="0" o:title=""/>
                <o:lock v:ext="edit" position="f" selection="f" grouping="f" rotation="f" cropping="f" text="f"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42" o:spt="13" type="#_x0000_t13" style="position:absolute;left:4705;top:255;height:256;width:441;" fillcolor="#FFFFFF" filled="t" o:preferrelative="t" stroked="t" coordsize="21600,21600" adj="16203,5400">
                <v:path/>
                <v:fill on="t" focussize="0,0"/>
                <v:stroke color="#000000" color2="#FFFFFF" miterlimit="2"/>
                <v:imagedata gain="65536f" blacklevel="0f" gamma="0" o:title=""/>
                <o:lock v:ext="edit" position="f" selection="f" grouping="f" rotation="f" cropping="f" text="f" aspectratio="f"/>
              </v:shape>
            </v:group>
            <w10:wrap type="topAndBottom"/>
          </v:group>
        </w:pic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12"/>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0"/>
          <w:rFonts w:ascii="宋体" w:hAnsi="宋体" w:cs="宋体"/>
          <w:color w:val="auto"/>
          <w:kern w:val="0"/>
          <w:sz w:val="18"/>
          <w:szCs w:val="18"/>
        </w:rPr>
        <w:t>www.</w:t>
      </w:r>
      <w:r>
        <w:rPr>
          <w:rStyle w:val="10"/>
          <w:rFonts w:hint="eastAsia" w:ascii="宋体" w:hAnsi="宋体" w:cs="宋体"/>
          <w:color w:val="auto"/>
          <w:kern w:val="0"/>
          <w:sz w:val="18"/>
          <w:szCs w:val="18"/>
        </w:rPr>
        <w:t>csrcbank</w:t>
      </w:r>
      <w:r>
        <w:rPr>
          <w:rStyle w:val="10"/>
          <w:rFonts w:ascii="宋体" w:hAnsi="宋体" w:cs="宋体"/>
          <w:color w:val="auto"/>
          <w:kern w:val="0"/>
          <w:sz w:val="18"/>
          <w:szCs w:val="18"/>
        </w:rPr>
        <w:t>.com</w:t>
      </w:r>
      <w:r>
        <w:rPr>
          <w:rStyle w:val="10"/>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277D8"/>
    <w:rsid w:val="021054A3"/>
    <w:rsid w:val="02485D4E"/>
    <w:rsid w:val="02840131"/>
    <w:rsid w:val="028E264D"/>
    <w:rsid w:val="02C14713"/>
    <w:rsid w:val="02EF77E1"/>
    <w:rsid w:val="03101F14"/>
    <w:rsid w:val="03243133"/>
    <w:rsid w:val="036C6DAA"/>
    <w:rsid w:val="03E531F1"/>
    <w:rsid w:val="04815B5D"/>
    <w:rsid w:val="048C0506"/>
    <w:rsid w:val="04EF11D6"/>
    <w:rsid w:val="05066B4B"/>
    <w:rsid w:val="053B19FF"/>
    <w:rsid w:val="053C7261"/>
    <w:rsid w:val="05592B90"/>
    <w:rsid w:val="05711A7E"/>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98E0800"/>
    <w:rsid w:val="09A83DA7"/>
    <w:rsid w:val="09D94E35"/>
    <w:rsid w:val="09DD76C5"/>
    <w:rsid w:val="09FB2DEB"/>
    <w:rsid w:val="0A3B3BD5"/>
    <w:rsid w:val="0A436A63"/>
    <w:rsid w:val="0A5C798D"/>
    <w:rsid w:val="0A697B87"/>
    <w:rsid w:val="0A8E1461"/>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CF54722"/>
    <w:rsid w:val="0D552B6D"/>
    <w:rsid w:val="0D7359A1"/>
    <w:rsid w:val="0D9C536D"/>
    <w:rsid w:val="0E0A3916"/>
    <w:rsid w:val="0E183F30"/>
    <w:rsid w:val="0E1A7433"/>
    <w:rsid w:val="0E20157A"/>
    <w:rsid w:val="0E8C5D7C"/>
    <w:rsid w:val="0E8F15F0"/>
    <w:rsid w:val="0F2C0095"/>
    <w:rsid w:val="0F8D0BCA"/>
    <w:rsid w:val="1013142C"/>
    <w:rsid w:val="10183676"/>
    <w:rsid w:val="103764A9"/>
    <w:rsid w:val="105B1B61"/>
    <w:rsid w:val="10807BA2"/>
    <w:rsid w:val="10997447"/>
    <w:rsid w:val="10A854E3"/>
    <w:rsid w:val="11044578"/>
    <w:rsid w:val="111A33D9"/>
    <w:rsid w:val="114A726B"/>
    <w:rsid w:val="116B08B9"/>
    <w:rsid w:val="116F3C27"/>
    <w:rsid w:val="1186384C"/>
    <w:rsid w:val="11D3174D"/>
    <w:rsid w:val="12111CE2"/>
    <w:rsid w:val="12324EB9"/>
    <w:rsid w:val="12374872"/>
    <w:rsid w:val="12466B15"/>
    <w:rsid w:val="125170B3"/>
    <w:rsid w:val="125633BB"/>
    <w:rsid w:val="125A0EB1"/>
    <w:rsid w:val="128F1B00"/>
    <w:rsid w:val="12A32D1F"/>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604074F"/>
    <w:rsid w:val="16391602"/>
    <w:rsid w:val="164467AA"/>
    <w:rsid w:val="16767B4B"/>
    <w:rsid w:val="168A398A"/>
    <w:rsid w:val="16B36D4D"/>
    <w:rsid w:val="16E21E1B"/>
    <w:rsid w:val="16F220B5"/>
    <w:rsid w:val="16F577B6"/>
    <w:rsid w:val="16FD2644"/>
    <w:rsid w:val="1703454E"/>
    <w:rsid w:val="170A3E13"/>
    <w:rsid w:val="17206192"/>
    <w:rsid w:val="1732509D"/>
    <w:rsid w:val="17AF08A9"/>
    <w:rsid w:val="17D313A3"/>
    <w:rsid w:val="17DB7587"/>
    <w:rsid w:val="17E70043"/>
    <w:rsid w:val="17E91348"/>
    <w:rsid w:val="17F6065E"/>
    <w:rsid w:val="181E68F0"/>
    <w:rsid w:val="18292F6E"/>
    <w:rsid w:val="182D2D36"/>
    <w:rsid w:val="185A2660"/>
    <w:rsid w:val="18B60219"/>
    <w:rsid w:val="18D944D4"/>
    <w:rsid w:val="18DD7D48"/>
    <w:rsid w:val="18DF3E5F"/>
    <w:rsid w:val="191142D4"/>
    <w:rsid w:val="191F54D8"/>
    <w:rsid w:val="192D76F1"/>
    <w:rsid w:val="193A79F0"/>
    <w:rsid w:val="19A50560"/>
    <w:rsid w:val="19BE5B9F"/>
    <w:rsid w:val="19D4203E"/>
    <w:rsid w:val="19DC4FFB"/>
    <w:rsid w:val="19E908B9"/>
    <w:rsid w:val="1A1D12E8"/>
    <w:rsid w:val="1A29778A"/>
    <w:rsid w:val="1A445924"/>
    <w:rsid w:val="1A491DAC"/>
    <w:rsid w:val="1A7E4C00"/>
    <w:rsid w:val="1A8F0322"/>
    <w:rsid w:val="1AAF48E3"/>
    <w:rsid w:val="1AD718DD"/>
    <w:rsid w:val="1B171500"/>
    <w:rsid w:val="1B666D00"/>
    <w:rsid w:val="1BC85AA0"/>
    <w:rsid w:val="1BE74C69"/>
    <w:rsid w:val="1C2E0BDD"/>
    <w:rsid w:val="1C392F29"/>
    <w:rsid w:val="1C6F2DB6"/>
    <w:rsid w:val="1C7F1A3E"/>
    <w:rsid w:val="1C951971"/>
    <w:rsid w:val="1CB73CA2"/>
    <w:rsid w:val="1CDC65CA"/>
    <w:rsid w:val="1D86477C"/>
    <w:rsid w:val="1DBA3E18"/>
    <w:rsid w:val="1DC24809"/>
    <w:rsid w:val="1DF63B37"/>
    <w:rsid w:val="1E0E375C"/>
    <w:rsid w:val="1E2C078D"/>
    <w:rsid w:val="1E414EAF"/>
    <w:rsid w:val="1E5D6D5E"/>
    <w:rsid w:val="1EBE5AFE"/>
    <w:rsid w:val="1EF67E9C"/>
    <w:rsid w:val="1F163F8E"/>
    <w:rsid w:val="1F262711"/>
    <w:rsid w:val="1F4958D9"/>
    <w:rsid w:val="1F5F1E04"/>
    <w:rsid w:val="1F804A7B"/>
    <w:rsid w:val="1FA35708"/>
    <w:rsid w:val="1FB270BE"/>
    <w:rsid w:val="1FDB71CF"/>
    <w:rsid w:val="20174E36"/>
    <w:rsid w:val="203329FA"/>
    <w:rsid w:val="204C6209"/>
    <w:rsid w:val="205A1400"/>
    <w:rsid w:val="206F170E"/>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F05AE9"/>
    <w:rsid w:val="24335B6F"/>
    <w:rsid w:val="25147B41"/>
    <w:rsid w:val="251A1C01"/>
    <w:rsid w:val="25544D4D"/>
    <w:rsid w:val="25BA7F75"/>
    <w:rsid w:val="25F433C6"/>
    <w:rsid w:val="26110984"/>
    <w:rsid w:val="264158CF"/>
    <w:rsid w:val="265213ED"/>
    <w:rsid w:val="267E1DB2"/>
    <w:rsid w:val="268843E2"/>
    <w:rsid w:val="26C329A6"/>
    <w:rsid w:val="26D37F62"/>
    <w:rsid w:val="278773E2"/>
    <w:rsid w:val="27C512CF"/>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5E1E51"/>
    <w:rsid w:val="2B5E7D49"/>
    <w:rsid w:val="2B700A50"/>
    <w:rsid w:val="2B7661DC"/>
    <w:rsid w:val="2B890B6B"/>
    <w:rsid w:val="2BC52685"/>
    <w:rsid w:val="2BF46AAA"/>
    <w:rsid w:val="2BFB3551"/>
    <w:rsid w:val="2C110389"/>
    <w:rsid w:val="2C113E5C"/>
    <w:rsid w:val="2C372A17"/>
    <w:rsid w:val="2C7135D7"/>
    <w:rsid w:val="2C8C7F23"/>
    <w:rsid w:val="2CCF1DA4"/>
    <w:rsid w:val="2CD07712"/>
    <w:rsid w:val="2CF15497"/>
    <w:rsid w:val="2CFA3AD0"/>
    <w:rsid w:val="2D324A76"/>
    <w:rsid w:val="2D3C1AE0"/>
    <w:rsid w:val="2D406ACD"/>
    <w:rsid w:val="2D541EEA"/>
    <w:rsid w:val="2DA54273"/>
    <w:rsid w:val="2DBA5111"/>
    <w:rsid w:val="2DCC0144"/>
    <w:rsid w:val="2E093F97"/>
    <w:rsid w:val="2E286892"/>
    <w:rsid w:val="2E475FFA"/>
    <w:rsid w:val="2E627EA9"/>
    <w:rsid w:val="2E922BF6"/>
    <w:rsid w:val="2EF54743"/>
    <w:rsid w:val="2F5B483E"/>
    <w:rsid w:val="2FCF25FE"/>
    <w:rsid w:val="305B7C64"/>
    <w:rsid w:val="309E19D2"/>
    <w:rsid w:val="30B519B1"/>
    <w:rsid w:val="30E65649"/>
    <w:rsid w:val="31470E79"/>
    <w:rsid w:val="31534978"/>
    <w:rsid w:val="315658FD"/>
    <w:rsid w:val="316C6324"/>
    <w:rsid w:val="31BB30A3"/>
    <w:rsid w:val="31C32B6D"/>
    <w:rsid w:val="320831A2"/>
    <w:rsid w:val="326D5E9B"/>
    <w:rsid w:val="329B0193"/>
    <w:rsid w:val="32EA7018"/>
    <w:rsid w:val="32EB2DE0"/>
    <w:rsid w:val="331773F1"/>
    <w:rsid w:val="33A928CE"/>
    <w:rsid w:val="33C2127A"/>
    <w:rsid w:val="33E24302"/>
    <w:rsid w:val="33E46427"/>
    <w:rsid w:val="33E936B8"/>
    <w:rsid w:val="33EB6BBB"/>
    <w:rsid w:val="33FF10DF"/>
    <w:rsid w:val="343137A3"/>
    <w:rsid w:val="34467E78"/>
    <w:rsid w:val="34846EBC"/>
    <w:rsid w:val="348A3241"/>
    <w:rsid w:val="34A075E3"/>
    <w:rsid w:val="34A672EE"/>
    <w:rsid w:val="34B365FD"/>
    <w:rsid w:val="34D06C8E"/>
    <w:rsid w:val="34EB51C8"/>
    <w:rsid w:val="34ED54E4"/>
    <w:rsid w:val="35397B62"/>
    <w:rsid w:val="355A1216"/>
    <w:rsid w:val="357F17EA"/>
    <w:rsid w:val="35940701"/>
    <w:rsid w:val="35C34243"/>
    <w:rsid w:val="35E96681"/>
    <w:rsid w:val="35F13A8D"/>
    <w:rsid w:val="36910FDB"/>
    <w:rsid w:val="36A2002D"/>
    <w:rsid w:val="36CB3D61"/>
    <w:rsid w:val="36D24400"/>
    <w:rsid w:val="36D76309"/>
    <w:rsid w:val="374E17CB"/>
    <w:rsid w:val="376A7A76"/>
    <w:rsid w:val="378410FF"/>
    <w:rsid w:val="37C13D08"/>
    <w:rsid w:val="388F19DD"/>
    <w:rsid w:val="38D45B95"/>
    <w:rsid w:val="38E96108"/>
    <w:rsid w:val="39057817"/>
    <w:rsid w:val="39291FD6"/>
    <w:rsid w:val="39674039"/>
    <w:rsid w:val="39682ADB"/>
    <w:rsid w:val="39900A80"/>
    <w:rsid w:val="39A43E9E"/>
    <w:rsid w:val="39B131B3"/>
    <w:rsid w:val="39B905C0"/>
    <w:rsid w:val="39D236E8"/>
    <w:rsid w:val="39D3116A"/>
    <w:rsid w:val="39F529A3"/>
    <w:rsid w:val="39FB232E"/>
    <w:rsid w:val="3A2B507B"/>
    <w:rsid w:val="3A2D057F"/>
    <w:rsid w:val="3ADD4E9F"/>
    <w:rsid w:val="3B0E69A9"/>
    <w:rsid w:val="3B7D6FA7"/>
    <w:rsid w:val="3BC5477C"/>
    <w:rsid w:val="3BE16CCB"/>
    <w:rsid w:val="3BE462E3"/>
    <w:rsid w:val="3C2B323D"/>
    <w:rsid w:val="3CC06339"/>
    <w:rsid w:val="3CFB7418"/>
    <w:rsid w:val="3D3675FD"/>
    <w:rsid w:val="3D3921C5"/>
    <w:rsid w:val="3D502048"/>
    <w:rsid w:val="3D53112B"/>
    <w:rsid w:val="3D754D6F"/>
    <w:rsid w:val="3D930C99"/>
    <w:rsid w:val="3D9B7CBE"/>
    <w:rsid w:val="3DAA1B3A"/>
    <w:rsid w:val="3DC65BE7"/>
    <w:rsid w:val="3E1958A3"/>
    <w:rsid w:val="3E2D0A8E"/>
    <w:rsid w:val="3E5654D6"/>
    <w:rsid w:val="3EF25354"/>
    <w:rsid w:val="3F1A598D"/>
    <w:rsid w:val="3F2E7738"/>
    <w:rsid w:val="3F476FDD"/>
    <w:rsid w:val="3F494FE9"/>
    <w:rsid w:val="3F912AF7"/>
    <w:rsid w:val="3FA163F2"/>
    <w:rsid w:val="3FC55E64"/>
    <w:rsid w:val="402356C6"/>
    <w:rsid w:val="403147CD"/>
    <w:rsid w:val="40516596"/>
    <w:rsid w:val="405E4CFE"/>
    <w:rsid w:val="406861BB"/>
    <w:rsid w:val="410C3445"/>
    <w:rsid w:val="412F645D"/>
    <w:rsid w:val="414D3EAF"/>
    <w:rsid w:val="41C837F8"/>
    <w:rsid w:val="41DF38DF"/>
    <w:rsid w:val="41FD4053"/>
    <w:rsid w:val="424A08CF"/>
    <w:rsid w:val="425D61F8"/>
    <w:rsid w:val="427A17FC"/>
    <w:rsid w:val="428B1338"/>
    <w:rsid w:val="42E94F55"/>
    <w:rsid w:val="42F176D0"/>
    <w:rsid w:val="433462CE"/>
    <w:rsid w:val="433C5A00"/>
    <w:rsid w:val="4359650D"/>
    <w:rsid w:val="43CD51C7"/>
    <w:rsid w:val="440D3A32"/>
    <w:rsid w:val="4430746A"/>
    <w:rsid w:val="4450106D"/>
    <w:rsid w:val="445A3B32"/>
    <w:rsid w:val="446E05D4"/>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57351A"/>
    <w:rsid w:val="47974304"/>
    <w:rsid w:val="47B44217"/>
    <w:rsid w:val="47BE198A"/>
    <w:rsid w:val="480A2FBE"/>
    <w:rsid w:val="48185B57"/>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5F55B3"/>
    <w:rsid w:val="4C6F31F2"/>
    <w:rsid w:val="4CAF785F"/>
    <w:rsid w:val="4CD94E20"/>
    <w:rsid w:val="4D5634F0"/>
    <w:rsid w:val="4D5D1F40"/>
    <w:rsid w:val="4D804334"/>
    <w:rsid w:val="4DB95793"/>
    <w:rsid w:val="4DBF5FB2"/>
    <w:rsid w:val="4DDF0F63"/>
    <w:rsid w:val="4E0E506F"/>
    <w:rsid w:val="4E4B256C"/>
    <w:rsid w:val="4E501D2A"/>
    <w:rsid w:val="4E884B66"/>
    <w:rsid w:val="4E8F0CF5"/>
    <w:rsid w:val="4EB621B3"/>
    <w:rsid w:val="4EF26794"/>
    <w:rsid w:val="4EFB2AF1"/>
    <w:rsid w:val="4F1637C8"/>
    <w:rsid w:val="4F32757E"/>
    <w:rsid w:val="4F454F19"/>
    <w:rsid w:val="4F923C1E"/>
    <w:rsid w:val="4FB6096D"/>
    <w:rsid w:val="4FBB03DB"/>
    <w:rsid w:val="50120DEA"/>
    <w:rsid w:val="50146E75"/>
    <w:rsid w:val="503F6BEE"/>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584748"/>
    <w:rsid w:val="576747DC"/>
    <w:rsid w:val="577545BB"/>
    <w:rsid w:val="57AC65E2"/>
    <w:rsid w:val="57AD4F45"/>
    <w:rsid w:val="57DE5EB8"/>
    <w:rsid w:val="57FB5468"/>
    <w:rsid w:val="57FE63ED"/>
    <w:rsid w:val="581B7F1B"/>
    <w:rsid w:val="58587A9A"/>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A7097C"/>
    <w:rsid w:val="600D76AB"/>
    <w:rsid w:val="6012002C"/>
    <w:rsid w:val="60837066"/>
    <w:rsid w:val="612C0778"/>
    <w:rsid w:val="61414E9A"/>
    <w:rsid w:val="614800A8"/>
    <w:rsid w:val="61637D75"/>
    <w:rsid w:val="619F2CB5"/>
    <w:rsid w:val="61E60EAB"/>
    <w:rsid w:val="62246792"/>
    <w:rsid w:val="626A329A"/>
    <w:rsid w:val="628E03BF"/>
    <w:rsid w:val="634023E1"/>
    <w:rsid w:val="634642EB"/>
    <w:rsid w:val="635C20B1"/>
    <w:rsid w:val="63884D08"/>
    <w:rsid w:val="639E361F"/>
    <w:rsid w:val="63D21927"/>
    <w:rsid w:val="63F50C0B"/>
    <w:rsid w:val="640E2396"/>
    <w:rsid w:val="641A7B46"/>
    <w:rsid w:val="64451C8F"/>
    <w:rsid w:val="644707AF"/>
    <w:rsid w:val="646666C9"/>
    <w:rsid w:val="64A66A83"/>
    <w:rsid w:val="64AB2CB8"/>
    <w:rsid w:val="64E0620E"/>
    <w:rsid w:val="65171FE8"/>
    <w:rsid w:val="657171FE"/>
    <w:rsid w:val="65891022"/>
    <w:rsid w:val="65E43CBA"/>
    <w:rsid w:val="65F364D3"/>
    <w:rsid w:val="664839DE"/>
    <w:rsid w:val="66C37AA5"/>
    <w:rsid w:val="66DF3BDF"/>
    <w:rsid w:val="66F332D5"/>
    <w:rsid w:val="6709601B"/>
    <w:rsid w:val="670B371C"/>
    <w:rsid w:val="674001A7"/>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790F04"/>
    <w:rsid w:val="69D07728"/>
    <w:rsid w:val="69FF6F72"/>
    <w:rsid w:val="6A0E07C3"/>
    <w:rsid w:val="6A906493"/>
    <w:rsid w:val="6AF1171A"/>
    <w:rsid w:val="6AF44007"/>
    <w:rsid w:val="6B090729"/>
    <w:rsid w:val="6B0F11E2"/>
    <w:rsid w:val="6BF07722"/>
    <w:rsid w:val="6C0210B1"/>
    <w:rsid w:val="6C38059F"/>
    <w:rsid w:val="6C465F32"/>
    <w:rsid w:val="6C496EB7"/>
    <w:rsid w:val="6C8947F6"/>
    <w:rsid w:val="6CF3643A"/>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6D301A"/>
    <w:rsid w:val="6F9A4CB7"/>
    <w:rsid w:val="6FD04AFC"/>
    <w:rsid w:val="6FD47408"/>
    <w:rsid w:val="6FD8258B"/>
    <w:rsid w:val="6FDD4494"/>
    <w:rsid w:val="6FEA15AC"/>
    <w:rsid w:val="6FF30BB6"/>
    <w:rsid w:val="700233CF"/>
    <w:rsid w:val="700529B7"/>
    <w:rsid w:val="70065659"/>
    <w:rsid w:val="70113072"/>
    <w:rsid w:val="70173375"/>
    <w:rsid w:val="70335223"/>
    <w:rsid w:val="70676382"/>
    <w:rsid w:val="709848AF"/>
    <w:rsid w:val="70C54D3C"/>
    <w:rsid w:val="70FA71EB"/>
    <w:rsid w:val="71971267"/>
    <w:rsid w:val="71A74D85"/>
    <w:rsid w:val="71B43E9D"/>
    <w:rsid w:val="71C80B3D"/>
    <w:rsid w:val="71CD585B"/>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713695"/>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D50A29"/>
    <w:rsid w:val="77E138BA"/>
    <w:rsid w:val="77E757C4"/>
    <w:rsid w:val="78131B3E"/>
    <w:rsid w:val="781E371F"/>
    <w:rsid w:val="784A5BBA"/>
    <w:rsid w:val="78F422BE"/>
    <w:rsid w:val="790E68AB"/>
    <w:rsid w:val="79990A0D"/>
    <w:rsid w:val="799C1EED"/>
    <w:rsid w:val="79A74BFD"/>
    <w:rsid w:val="79AE5130"/>
    <w:rsid w:val="79D704F2"/>
    <w:rsid w:val="79DB1D76"/>
    <w:rsid w:val="79E7658E"/>
    <w:rsid w:val="79F57AA2"/>
    <w:rsid w:val="79F964A8"/>
    <w:rsid w:val="7A0F49FB"/>
    <w:rsid w:val="7A385094"/>
    <w:rsid w:val="7A523314"/>
    <w:rsid w:val="7A610456"/>
    <w:rsid w:val="7A6300D6"/>
    <w:rsid w:val="7A903A56"/>
    <w:rsid w:val="7AAD2AD4"/>
    <w:rsid w:val="7AB46E9F"/>
    <w:rsid w:val="7AC9440C"/>
    <w:rsid w:val="7AEB680E"/>
    <w:rsid w:val="7B186900"/>
    <w:rsid w:val="7B3B2338"/>
    <w:rsid w:val="7B406A22"/>
    <w:rsid w:val="7B907D66"/>
    <w:rsid w:val="7BA051AE"/>
    <w:rsid w:val="7BA13D4B"/>
    <w:rsid w:val="7BCD512A"/>
    <w:rsid w:val="7BF42DEB"/>
    <w:rsid w:val="7C0F7FDD"/>
    <w:rsid w:val="7C154545"/>
    <w:rsid w:val="7C1D135B"/>
    <w:rsid w:val="7CA4518D"/>
    <w:rsid w:val="7CC940C8"/>
    <w:rsid w:val="7D1379BF"/>
    <w:rsid w:val="7D474996"/>
    <w:rsid w:val="7D5848F7"/>
    <w:rsid w:val="7D7265C6"/>
    <w:rsid w:val="7DAC7542"/>
    <w:rsid w:val="7DB24046"/>
    <w:rsid w:val="7DC62CE6"/>
    <w:rsid w:val="7DCE3976"/>
    <w:rsid w:val="7DD86484"/>
    <w:rsid w:val="7DF30332"/>
    <w:rsid w:val="7E36070D"/>
    <w:rsid w:val="7E7B17D5"/>
    <w:rsid w:val="7E9633BF"/>
    <w:rsid w:val="7F5A30FD"/>
    <w:rsid w:val="7F64728F"/>
    <w:rsid w:val="7F751728"/>
    <w:rsid w:val="7F77144F"/>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character" w:styleId="10">
    <w:name w:val="Hyperlink"/>
    <w:qFormat/>
    <w:uiPriority w:val="0"/>
    <w:rPr>
      <w:color w:val="0000FF"/>
      <w:u w:val="single"/>
    </w:rPr>
  </w:style>
  <w:style w:type="character" w:styleId="11">
    <w:name w:val="annotation reference"/>
    <w:unhideWhenUsed/>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1</TotalTime>
  <ScaleCrop>false</ScaleCrop>
  <LinksUpToDate>false</LinksUpToDate>
  <CharactersWithSpaces>0</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crcb</cp:lastModifiedBy>
  <dcterms:modified xsi:type="dcterms:W3CDTF">2026-01-13T04:18:10Z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25EA6838CE724641A4167ABFADBCA314</vt:lpwstr>
  </property>
</Properties>
</file>