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157</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CLZX12MB157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7</w:t>
            </w:r>
            <w:r>
              <w:rPr>
                <w:rFonts w:hint="eastAsia"/>
                <w:color w:val="000000"/>
                <w:sz w:val="22"/>
                <w:szCs w:val="22"/>
                <w:u w:val="none"/>
              </w:rPr>
              <w:t>年</w:t>
            </w:r>
            <w:r>
              <w:rPr>
                <w:rFonts w:hint="eastAsia"/>
                <w:color w:val="000000"/>
                <w:sz w:val="22"/>
                <w:szCs w:val="22"/>
                <w:u w:val="none"/>
                <w:lang w:val="en-US" w:eastAsia="zh-CN"/>
              </w:rPr>
              <w:t>01</w:t>
            </w:r>
            <w:r>
              <w:rPr>
                <w:rFonts w:hint="eastAsia"/>
                <w:color w:val="000000"/>
                <w:sz w:val="22"/>
                <w:szCs w:val="22"/>
                <w:u w:val="none"/>
              </w:rPr>
              <w:t>月</w:t>
            </w:r>
            <w:r>
              <w:rPr>
                <w:rFonts w:hint="eastAsia"/>
                <w:color w:val="000000"/>
                <w:sz w:val="22"/>
                <w:szCs w:val="22"/>
                <w:u w:val="none"/>
                <w:lang w:val="en-US" w:eastAsia="zh-CN"/>
              </w:rPr>
              <w:t>28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371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eastAsia="宋体" w:cs="宋体"/>
                <w:kern w:val="0"/>
                <w:sz w:val="24"/>
                <w:szCs w:val="24"/>
                <w:u w:val="none"/>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u w:val="none"/>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一年定期</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1.50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0.30</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-1.30%）</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1.80%-2.8</w:t>
            </w:r>
            <w:bookmarkStart w:id="8" w:name="_GoBack"/>
            <w:bookmarkEnd w:id="8"/>
            <w:r>
              <w:rPr>
                <w:rFonts w:hint="eastAsia" w:ascii="宋体" w:hAnsi="宋体" w:cs="宋体"/>
                <w:color w:val="000000"/>
                <w:kern w:val="0"/>
                <w:sz w:val="24"/>
                <w:szCs w:val="24"/>
                <w:u w:val="none"/>
                <w:lang w:val="en-US" w:eastAsia="zh-CN"/>
              </w:rPr>
              <w:t>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u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colors="0f #FFFFFF;65536f #FFFFFF" angle="-90" focus="0%" focussize="0f,0f" focusposition="0f,0f"/>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w:t>
            </w:r>
            <w:r>
              <w:rPr>
                <w:rFonts w:hint="eastAsia" w:eastAsia="楷体_GB2312"/>
                <w:lang w:eastAsia="zh-CN"/>
              </w:rPr>
              <w:t>常熟农商银行发布的公告</w:t>
            </w:r>
            <w:r>
              <w:rPr>
                <w:rFonts w:hint="eastAsia" w:eastAsia="楷体_GB2312"/>
              </w:rPr>
              <w:t>。</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固定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认购费：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申购费</w:t>
            </w:r>
            <w:r>
              <w:rPr>
                <w:rFonts w:hint="eastAsia" w:ascii="楷体_GB2312" w:hAnsi="Times New Roman" w:eastAsia="楷体_GB2312"/>
                <w:b/>
                <w:bCs/>
                <w:u w:val="single"/>
              </w:rPr>
              <w:t>：</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赎回费：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lang w:val="en-US" w:eastAsia="zh-CN"/>
              </w:rPr>
              <w:t>固定</w:t>
            </w:r>
            <w:r>
              <w:rPr>
                <w:rFonts w:hint="eastAsia" w:ascii="楷体_GB2312" w:hAnsi="Times New Roman" w:eastAsia="楷体_GB2312"/>
                <w:b/>
                <w:bCs/>
              </w:rPr>
              <w:t>管理费、托管费：</w:t>
            </w:r>
          </w:p>
          <w:p>
            <w:pPr>
              <w:spacing w:line="360" w:lineRule="exact"/>
              <w:rPr>
                <w:rFonts w:ascii="楷体_GB2312"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w:t>
            </w:r>
            <w:r>
              <w:rPr>
                <w:rFonts w:hint="eastAsia" w:ascii="楷体_GB2312" w:hAnsi="Times New Roman" w:eastAsia="楷体_GB2312"/>
                <w:b/>
                <w:bCs/>
                <w:u w:val="single"/>
                <w:lang w:val="en-US" w:eastAsia="zh-CN"/>
              </w:rPr>
              <w:t>1</w:t>
            </w:r>
            <w:r>
              <w:rPr>
                <w:rFonts w:ascii="楷体_GB2312" w:hAnsi="Times New Roman" w:eastAsia="楷体_GB2312"/>
                <w:b/>
                <w:bCs/>
                <w:u w:val="single"/>
              </w:rPr>
              <w:t>%/</w:t>
            </w:r>
            <w:r>
              <w:rPr>
                <w:rFonts w:hint="eastAsia" w:ascii="楷体_GB2312" w:hAnsi="Times New Roman" w:eastAsia="楷体_GB2312"/>
                <w:b/>
                <w:bCs/>
                <w:u w:val="single"/>
              </w:rPr>
              <w:t>年</w:t>
            </w:r>
            <w:r>
              <w:rPr>
                <w:rFonts w:hint="eastAsia" w:ascii="楷体_GB2312" w:hAnsi="Times New Roman" w:eastAsia="楷体_GB2312"/>
                <w:b/>
                <w:bCs/>
              </w:rPr>
              <w:t>提取固定管理费</w:t>
            </w:r>
            <w:r>
              <w:rPr>
                <w:rFonts w:hint="eastAsia" w:ascii="楷体_GB2312" w:eastAsia="楷体_GB2312"/>
                <w:b/>
                <w:bCs/>
              </w:rPr>
              <w:t>。</w:t>
            </w:r>
          </w:p>
          <w:p>
            <w:pPr>
              <w:spacing w:line="360" w:lineRule="exact"/>
              <w:rPr>
                <w:rFonts w:ascii="楷体_GB2312" w:hAnsi="Times New Roman" w:eastAsia="楷体_GB2312"/>
                <w:b/>
                <w:bCs/>
              </w:rPr>
            </w:pPr>
            <w:r>
              <w:rPr>
                <w:rFonts w:hint="eastAsia" w:ascii="楷体_GB2312" w:hAnsi="Times New Roman" w:eastAsia="楷体_GB2312"/>
                <w:b/>
                <w:bCs/>
              </w:rPr>
              <w:t>每日计提的固定管理费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w:t>
            </w:r>
            <w:r>
              <w:rPr>
                <w:rFonts w:hint="eastAsia" w:ascii="楷体_GB2312" w:hAnsi="Times New Roman" w:eastAsia="楷体_GB2312"/>
                <w:b/>
                <w:bCs/>
                <w:u w:val="single"/>
                <w:lang w:val="en-US" w:eastAsia="zh-CN"/>
              </w:rPr>
              <w:t>1</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ascii="楷体_GB2312" w:hAnsi="Times New Roman"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0.01%/</w:t>
            </w:r>
            <w:r>
              <w:rPr>
                <w:rFonts w:hint="eastAsia" w:ascii="楷体_GB2312" w:hAnsi="Times New Roman" w:eastAsia="楷体_GB2312"/>
                <w:b/>
                <w:bCs/>
                <w:u w:val="single"/>
              </w:rPr>
              <w:t>年</w:t>
            </w:r>
            <w:r>
              <w:rPr>
                <w:rFonts w:hint="eastAsia" w:ascii="楷体_GB2312" w:hAnsi="Times New Roman" w:eastAsia="楷体_GB2312"/>
                <w:b/>
                <w:bCs/>
              </w:rPr>
              <w:t>提取托管费。</w:t>
            </w:r>
          </w:p>
          <w:p>
            <w:pPr>
              <w:spacing w:line="360" w:lineRule="exact"/>
              <w:rPr>
                <w:rFonts w:ascii="楷体_GB2312" w:hAnsi="Times New Roman" w:eastAsia="楷体_GB2312"/>
                <w:b/>
                <w:bCs/>
              </w:rPr>
            </w:pPr>
            <w:r>
              <w:rPr>
                <w:rFonts w:hint="eastAsia" w:ascii="楷体_GB2312" w:hAnsi="Times New Roman" w:eastAsia="楷体_GB2312"/>
                <w:b/>
                <w:bCs/>
              </w:rPr>
              <w:t>每日计提的托管费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0.01</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hint="eastAsia" w:ascii="楷体_GB2312" w:hAnsi="Times New Roman" w:eastAsia="楷体_GB2312"/>
                <w:b/>
                <w:bCs/>
              </w:rPr>
            </w:pPr>
            <w:r>
              <w:rPr>
                <w:rFonts w:hint="eastAsia" w:ascii="楷体_GB2312" w:hAnsi="Times New Roman" w:eastAsia="楷体_GB2312"/>
                <w:b/>
                <w:bCs/>
              </w:rPr>
              <w:t>产品固定管理费、托管费每日计提</w:t>
            </w:r>
            <w:r>
              <w:rPr>
                <w:rFonts w:hint="eastAsia"/>
                <w:b/>
                <w:bCs/>
              </w:rPr>
              <w:t>，</w:t>
            </w:r>
            <w:r>
              <w:rPr>
                <w:rFonts w:hint="eastAsia" w:ascii="楷体_GB2312" w:hAnsi="Times New Roman" w:eastAsia="楷体_GB2312"/>
                <w:b/>
                <w:bCs/>
              </w:rPr>
              <w:t>管理人有权根据实际情况自行提取固定管理费。</w:t>
            </w:r>
          </w:p>
          <w:p>
            <w:pPr>
              <w:spacing w:line="360" w:lineRule="exact"/>
              <w:rPr>
                <w:rFonts w:ascii="楷体_GB2312" w:hAnsi="Times New Roman" w:eastAsia="楷体_GB2312"/>
                <w:b/>
                <w:bCs/>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rPr>
            </w:pPr>
            <w:r>
              <w:rPr>
                <w:rFonts w:hint="eastAsia" w:ascii="楷体_GB2312" w:hAnsi="Times New Roman" w:eastAsia="楷体_GB2312"/>
                <w:lang w:val="en-US" w:eastAsia="zh-CN"/>
              </w:rPr>
              <w:t>6、</w:t>
            </w:r>
            <w:r>
              <w:rPr>
                <w:rFonts w:hint="eastAsia" w:ascii="楷体_GB2312" w:hAnsi="Times New Roman" w:eastAsia="楷体_GB2312"/>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w:t>
      </w:r>
      <w:r>
        <w:rPr>
          <w:rFonts w:hint="eastAsia" w:eastAsia="楷体_GB2312"/>
          <w:lang w:eastAsia="zh-CN"/>
        </w:rPr>
        <w:t>详见常熟农商银行各理财销售渠道</w:t>
      </w:r>
      <w:r>
        <w:rPr>
          <w:rFonts w:hint="eastAsia" w:eastAsia="楷体_GB2312"/>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w:t>
      </w:r>
      <w:r>
        <w:rPr>
          <w:rFonts w:hint="eastAsia" w:eastAsia="楷体_GB2312"/>
          <w:lang w:eastAsia="zh-CN"/>
        </w:rPr>
        <w:t>下限</w:t>
      </w:r>
      <w:r>
        <w:rPr>
          <w:rFonts w:hint="eastAsia" w:eastAsia="楷体_GB2312"/>
          <w:lang w:val="en-US" w:eastAsia="zh-CN"/>
        </w:rPr>
        <w:t>R1</w:t>
      </w:r>
      <w:r>
        <w:rPr>
          <w:rFonts w:hint="eastAsia" w:eastAsia="楷体_GB2312"/>
        </w:rPr>
        <w:t>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hint="eastAsia" w:eastAsia="楷体_GB2312"/>
          <w:lang w:eastAsia="zh-CN"/>
        </w:rPr>
        <w:t>下限</w:t>
      </w:r>
      <w:r>
        <w:rPr>
          <w:rFonts w:hint="eastAsia" w:eastAsia="楷体_GB2312"/>
          <w:lang w:val="en-US" w:eastAsia="zh-CN"/>
        </w:rPr>
        <w:t xml:space="preserve">R1 </w:t>
      </w:r>
      <w:r>
        <w:rPr>
          <w:rFonts w:eastAsia="楷体_GB2312"/>
        </w:rPr>
        <w:t>4.50%</w:t>
      </w:r>
      <w:r>
        <w:rPr>
          <w:rFonts w:hint="eastAsia" w:eastAsia="楷体_GB2312"/>
        </w:rPr>
        <w:t>），则常熟农商银行收取</w:t>
      </w:r>
      <w:r>
        <w:rPr>
          <w:rFonts w:eastAsia="楷体_GB2312"/>
        </w:rPr>
        <w:t>1.5%</w:t>
      </w:r>
      <w:r>
        <w:rPr>
          <w:rFonts w:hint="eastAsia" w:eastAsia="楷体_GB2312"/>
        </w:rPr>
        <w:t>的</w:t>
      </w:r>
      <w:r>
        <w:rPr>
          <w:rFonts w:hint="eastAsia" w:eastAsia="楷体_GB2312"/>
          <w:lang w:eastAsia="zh-CN"/>
        </w:rPr>
        <w:t>超额</w:t>
      </w:r>
      <w:r>
        <w:rPr>
          <w:rFonts w:hint="eastAsia" w:eastAsia="楷体_GB2312"/>
        </w:rPr>
        <w:t>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37147666"/>
      <w:bookmarkStart w:id="2" w:name="_Toc24442931"/>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995"/>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7,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2AEB"/>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20277D8"/>
    <w:rsid w:val="02485D4E"/>
    <w:rsid w:val="02840131"/>
    <w:rsid w:val="028E264D"/>
    <w:rsid w:val="02C14713"/>
    <w:rsid w:val="02EF77E1"/>
    <w:rsid w:val="03243133"/>
    <w:rsid w:val="034B16FB"/>
    <w:rsid w:val="036C6DAA"/>
    <w:rsid w:val="03E531F1"/>
    <w:rsid w:val="03EF7020"/>
    <w:rsid w:val="041B36CB"/>
    <w:rsid w:val="04815B5D"/>
    <w:rsid w:val="048C0506"/>
    <w:rsid w:val="04EF11D6"/>
    <w:rsid w:val="05066B4B"/>
    <w:rsid w:val="053B19FF"/>
    <w:rsid w:val="05711A7E"/>
    <w:rsid w:val="058C00A9"/>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8B67F2"/>
    <w:rsid w:val="0CAB26D5"/>
    <w:rsid w:val="0CB17E61"/>
    <w:rsid w:val="0CC87A86"/>
    <w:rsid w:val="0D2B7121"/>
    <w:rsid w:val="0D552B6D"/>
    <w:rsid w:val="0D7359A1"/>
    <w:rsid w:val="0D9C536D"/>
    <w:rsid w:val="0DE85960"/>
    <w:rsid w:val="0E183F30"/>
    <w:rsid w:val="0E1A7433"/>
    <w:rsid w:val="0E7C03D1"/>
    <w:rsid w:val="0E8C5D7C"/>
    <w:rsid w:val="0E8F15F0"/>
    <w:rsid w:val="0F714BFE"/>
    <w:rsid w:val="103764A9"/>
    <w:rsid w:val="105B1B61"/>
    <w:rsid w:val="10807BA2"/>
    <w:rsid w:val="10997447"/>
    <w:rsid w:val="10A854E3"/>
    <w:rsid w:val="11044578"/>
    <w:rsid w:val="114A726B"/>
    <w:rsid w:val="115F7210"/>
    <w:rsid w:val="116B08B9"/>
    <w:rsid w:val="116F3C27"/>
    <w:rsid w:val="1186384C"/>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480E52"/>
    <w:rsid w:val="1462527F"/>
    <w:rsid w:val="14A127E5"/>
    <w:rsid w:val="15491CF9"/>
    <w:rsid w:val="1552684D"/>
    <w:rsid w:val="15584512"/>
    <w:rsid w:val="15596EC0"/>
    <w:rsid w:val="1604074F"/>
    <w:rsid w:val="16391602"/>
    <w:rsid w:val="164467AA"/>
    <w:rsid w:val="168A398A"/>
    <w:rsid w:val="16B36D4D"/>
    <w:rsid w:val="16E21E1B"/>
    <w:rsid w:val="16F577B6"/>
    <w:rsid w:val="1703454E"/>
    <w:rsid w:val="17206192"/>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205565"/>
    <w:rsid w:val="19A50560"/>
    <w:rsid w:val="19AA0FA9"/>
    <w:rsid w:val="19D4203E"/>
    <w:rsid w:val="19DC4FFB"/>
    <w:rsid w:val="19E908B9"/>
    <w:rsid w:val="1A29778A"/>
    <w:rsid w:val="1A491DAC"/>
    <w:rsid w:val="1A8F0322"/>
    <w:rsid w:val="1AAF48E3"/>
    <w:rsid w:val="1B171500"/>
    <w:rsid w:val="1BC85AA0"/>
    <w:rsid w:val="1BD92486"/>
    <w:rsid w:val="1C2E0BDD"/>
    <w:rsid w:val="1C392F29"/>
    <w:rsid w:val="1C6F2DB6"/>
    <w:rsid w:val="1C7F1A3E"/>
    <w:rsid w:val="1C951971"/>
    <w:rsid w:val="1D041A28"/>
    <w:rsid w:val="1D86477C"/>
    <w:rsid w:val="1DBA3E18"/>
    <w:rsid w:val="1DF82D49"/>
    <w:rsid w:val="1E0E375C"/>
    <w:rsid w:val="1E2C078D"/>
    <w:rsid w:val="1E414EAF"/>
    <w:rsid w:val="1E5D6D5E"/>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3E4898"/>
    <w:rsid w:val="21510752"/>
    <w:rsid w:val="21540FBA"/>
    <w:rsid w:val="21637056"/>
    <w:rsid w:val="21783778"/>
    <w:rsid w:val="21D44D8B"/>
    <w:rsid w:val="220C302A"/>
    <w:rsid w:val="221A5500"/>
    <w:rsid w:val="222C0C9D"/>
    <w:rsid w:val="223C5D9A"/>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5E41ED8"/>
    <w:rsid w:val="264158CF"/>
    <w:rsid w:val="265213ED"/>
    <w:rsid w:val="265F6AB5"/>
    <w:rsid w:val="267E1DB2"/>
    <w:rsid w:val="26D37F62"/>
    <w:rsid w:val="27C512CF"/>
    <w:rsid w:val="27E53D82"/>
    <w:rsid w:val="28405395"/>
    <w:rsid w:val="28A114B4"/>
    <w:rsid w:val="28BC293D"/>
    <w:rsid w:val="28CF7E13"/>
    <w:rsid w:val="28F76BC7"/>
    <w:rsid w:val="29095BA3"/>
    <w:rsid w:val="29167977"/>
    <w:rsid w:val="29BF1089"/>
    <w:rsid w:val="29DB2BB8"/>
    <w:rsid w:val="2A017DDD"/>
    <w:rsid w:val="2A120B13"/>
    <w:rsid w:val="2A842B20"/>
    <w:rsid w:val="2AA76E09"/>
    <w:rsid w:val="2B700A50"/>
    <w:rsid w:val="2B7661DC"/>
    <w:rsid w:val="2B962BD1"/>
    <w:rsid w:val="2C110389"/>
    <w:rsid w:val="2C372A17"/>
    <w:rsid w:val="2C8C7F23"/>
    <w:rsid w:val="2CD07712"/>
    <w:rsid w:val="2D324A76"/>
    <w:rsid w:val="2D406ACD"/>
    <w:rsid w:val="2DA54273"/>
    <w:rsid w:val="2DBA5111"/>
    <w:rsid w:val="2E286892"/>
    <w:rsid w:val="2E475FFA"/>
    <w:rsid w:val="2E627EA9"/>
    <w:rsid w:val="2E922BF6"/>
    <w:rsid w:val="2ED22C48"/>
    <w:rsid w:val="2EF54743"/>
    <w:rsid w:val="2F5B483E"/>
    <w:rsid w:val="2FCF25FE"/>
    <w:rsid w:val="2FF02B06"/>
    <w:rsid w:val="305B7C64"/>
    <w:rsid w:val="307C1A90"/>
    <w:rsid w:val="309E19D2"/>
    <w:rsid w:val="30E65649"/>
    <w:rsid w:val="316C6324"/>
    <w:rsid w:val="31BB30A3"/>
    <w:rsid w:val="320831A2"/>
    <w:rsid w:val="321737BD"/>
    <w:rsid w:val="326D5E9B"/>
    <w:rsid w:val="329B0193"/>
    <w:rsid w:val="32B2363B"/>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F17EA"/>
    <w:rsid w:val="35C34243"/>
    <w:rsid w:val="35F13A8D"/>
    <w:rsid w:val="367365E5"/>
    <w:rsid w:val="36A2002D"/>
    <w:rsid w:val="36CB3D61"/>
    <w:rsid w:val="36D24400"/>
    <w:rsid w:val="36F058F0"/>
    <w:rsid w:val="370A1FDB"/>
    <w:rsid w:val="374E17CB"/>
    <w:rsid w:val="376A7A76"/>
    <w:rsid w:val="37C13D08"/>
    <w:rsid w:val="37C60190"/>
    <w:rsid w:val="387934B7"/>
    <w:rsid w:val="38D45B95"/>
    <w:rsid w:val="39057817"/>
    <w:rsid w:val="39486E79"/>
    <w:rsid w:val="39674039"/>
    <w:rsid w:val="39682ADB"/>
    <w:rsid w:val="39900A80"/>
    <w:rsid w:val="39A43E9E"/>
    <w:rsid w:val="39B131B3"/>
    <w:rsid w:val="39B905C0"/>
    <w:rsid w:val="39C23A11"/>
    <w:rsid w:val="39D236E8"/>
    <w:rsid w:val="39D3116A"/>
    <w:rsid w:val="39F529A3"/>
    <w:rsid w:val="39FB232E"/>
    <w:rsid w:val="3A2B507B"/>
    <w:rsid w:val="3A2D057F"/>
    <w:rsid w:val="3ADD4E9F"/>
    <w:rsid w:val="3B0E69A9"/>
    <w:rsid w:val="3B6D4438"/>
    <w:rsid w:val="3C0C3393"/>
    <w:rsid w:val="3C2573B9"/>
    <w:rsid w:val="3CC06339"/>
    <w:rsid w:val="3CC0660C"/>
    <w:rsid w:val="3CFB7418"/>
    <w:rsid w:val="3D3921C5"/>
    <w:rsid w:val="3D3F1FB2"/>
    <w:rsid w:val="3D515C28"/>
    <w:rsid w:val="3D53112B"/>
    <w:rsid w:val="3D754D6F"/>
    <w:rsid w:val="3D930C99"/>
    <w:rsid w:val="3DAA1B3A"/>
    <w:rsid w:val="3DC65BE7"/>
    <w:rsid w:val="3E1958A3"/>
    <w:rsid w:val="3E2D0A8E"/>
    <w:rsid w:val="3E3C3781"/>
    <w:rsid w:val="3E5654D6"/>
    <w:rsid w:val="3EF25354"/>
    <w:rsid w:val="3F494FE9"/>
    <w:rsid w:val="3FA163F2"/>
    <w:rsid w:val="3FC55E64"/>
    <w:rsid w:val="3FF55E7C"/>
    <w:rsid w:val="402356C6"/>
    <w:rsid w:val="403147CD"/>
    <w:rsid w:val="40516596"/>
    <w:rsid w:val="405E4CFE"/>
    <w:rsid w:val="40BD7E43"/>
    <w:rsid w:val="410C3445"/>
    <w:rsid w:val="412F645D"/>
    <w:rsid w:val="414D3EAF"/>
    <w:rsid w:val="41B119D5"/>
    <w:rsid w:val="41C837F8"/>
    <w:rsid w:val="41FD4053"/>
    <w:rsid w:val="425D61F8"/>
    <w:rsid w:val="426E308D"/>
    <w:rsid w:val="428A713A"/>
    <w:rsid w:val="428B1338"/>
    <w:rsid w:val="42E857EA"/>
    <w:rsid w:val="42E94F55"/>
    <w:rsid w:val="42F176D0"/>
    <w:rsid w:val="433462CE"/>
    <w:rsid w:val="4341736B"/>
    <w:rsid w:val="4359650D"/>
    <w:rsid w:val="43CD51C7"/>
    <w:rsid w:val="4430746A"/>
    <w:rsid w:val="4450106D"/>
    <w:rsid w:val="445057A1"/>
    <w:rsid w:val="445A3B32"/>
    <w:rsid w:val="446E05D4"/>
    <w:rsid w:val="455E2608"/>
    <w:rsid w:val="45865AF5"/>
    <w:rsid w:val="45A5284F"/>
    <w:rsid w:val="45D2476C"/>
    <w:rsid w:val="45F40441"/>
    <w:rsid w:val="45FD6761"/>
    <w:rsid w:val="464D55E6"/>
    <w:rsid w:val="46534F71"/>
    <w:rsid w:val="466D5B1B"/>
    <w:rsid w:val="467609A9"/>
    <w:rsid w:val="46B77214"/>
    <w:rsid w:val="46D467C4"/>
    <w:rsid w:val="46EE736E"/>
    <w:rsid w:val="46F36385"/>
    <w:rsid w:val="46FD0882"/>
    <w:rsid w:val="474422FB"/>
    <w:rsid w:val="475520A1"/>
    <w:rsid w:val="4757351A"/>
    <w:rsid w:val="47974304"/>
    <w:rsid w:val="4809333E"/>
    <w:rsid w:val="480A2FBE"/>
    <w:rsid w:val="48185B57"/>
    <w:rsid w:val="487C587B"/>
    <w:rsid w:val="48804143"/>
    <w:rsid w:val="48887951"/>
    <w:rsid w:val="489B28AD"/>
    <w:rsid w:val="49165266"/>
    <w:rsid w:val="49244D8F"/>
    <w:rsid w:val="49547ADD"/>
    <w:rsid w:val="49792302"/>
    <w:rsid w:val="49AB4C68"/>
    <w:rsid w:val="49D01002"/>
    <w:rsid w:val="49D074BD"/>
    <w:rsid w:val="49F308E0"/>
    <w:rsid w:val="4A17781B"/>
    <w:rsid w:val="4A2645B2"/>
    <w:rsid w:val="4A4F31F8"/>
    <w:rsid w:val="4A8928D1"/>
    <w:rsid w:val="4AA25200"/>
    <w:rsid w:val="4AD743D6"/>
    <w:rsid w:val="4B2D0403"/>
    <w:rsid w:val="4B5F55B3"/>
    <w:rsid w:val="4BC612F3"/>
    <w:rsid w:val="4C2442A8"/>
    <w:rsid w:val="4CAF785F"/>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F6BEE"/>
    <w:rsid w:val="50BB5D80"/>
    <w:rsid w:val="51186119"/>
    <w:rsid w:val="51291058"/>
    <w:rsid w:val="51322546"/>
    <w:rsid w:val="51465964"/>
    <w:rsid w:val="51827D47"/>
    <w:rsid w:val="51A158BC"/>
    <w:rsid w:val="51AA7C07"/>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B67C4"/>
    <w:rsid w:val="54DD1CC8"/>
    <w:rsid w:val="550A1702"/>
    <w:rsid w:val="551256A6"/>
    <w:rsid w:val="551A792E"/>
    <w:rsid w:val="5536145D"/>
    <w:rsid w:val="556D4434"/>
    <w:rsid w:val="559C59C0"/>
    <w:rsid w:val="55AB141B"/>
    <w:rsid w:val="55AB5B98"/>
    <w:rsid w:val="55C022BA"/>
    <w:rsid w:val="55C909CB"/>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3E219F"/>
    <w:rsid w:val="5A432DA3"/>
    <w:rsid w:val="5A81068A"/>
    <w:rsid w:val="5A8A2BB3"/>
    <w:rsid w:val="5B025EE5"/>
    <w:rsid w:val="5B1C147D"/>
    <w:rsid w:val="5B214990"/>
    <w:rsid w:val="5B374935"/>
    <w:rsid w:val="5B9B0DD6"/>
    <w:rsid w:val="5B9B465A"/>
    <w:rsid w:val="5C2515A2"/>
    <w:rsid w:val="5C372A61"/>
    <w:rsid w:val="5CB163A0"/>
    <w:rsid w:val="5CD37BDA"/>
    <w:rsid w:val="5CE44414"/>
    <w:rsid w:val="5CF15194"/>
    <w:rsid w:val="5CF63611"/>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600D76AB"/>
    <w:rsid w:val="6012002C"/>
    <w:rsid w:val="60837066"/>
    <w:rsid w:val="612C0778"/>
    <w:rsid w:val="61414E9A"/>
    <w:rsid w:val="614800A8"/>
    <w:rsid w:val="6173611B"/>
    <w:rsid w:val="61824D6D"/>
    <w:rsid w:val="619F2CB5"/>
    <w:rsid w:val="61E60EAB"/>
    <w:rsid w:val="62246792"/>
    <w:rsid w:val="62DF57D7"/>
    <w:rsid w:val="634642EB"/>
    <w:rsid w:val="636422CB"/>
    <w:rsid w:val="639E361F"/>
    <w:rsid w:val="640E2396"/>
    <w:rsid w:val="641A7B46"/>
    <w:rsid w:val="64451C8F"/>
    <w:rsid w:val="646666C9"/>
    <w:rsid w:val="64A66A83"/>
    <w:rsid w:val="64C05695"/>
    <w:rsid w:val="65171FE8"/>
    <w:rsid w:val="657171FE"/>
    <w:rsid w:val="65891022"/>
    <w:rsid w:val="65E43CBA"/>
    <w:rsid w:val="65F364D3"/>
    <w:rsid w:val="664839DE"/>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665F57"/>
    <w:rsid w:val="687E7D7B"/>
    <w:rsid w:val="692B51B2"/>
    <w:rsid w:val="693130A1"/>
    <w:rsid w:val="69790F04"/>
    <w:rsid w:val="69B071F3"/>
    <w:rsid w:val="69D07728"/>
    <w:rsid w:val="69FF6F72"/>
    <w:rsid w:val="6A2F4AF7"/>
    <w:rsid w:val="6A8E0BD8"/>
    <w:rsid w:val="6A906493"/>
    <w:rsid w:val="6B090729"/>
    <w:rsid w:val="6B0F11E2"/>
    <w:rsid w:val="6BF07722"/>
    <w:rsid w:val="6C0210B1"/>
    <w:rsid w:val="6C38059F"/>
    <w:rsid w:val="6C496EB7"/>
    <w:rsid w:val="6C8947F6"/>
    <w:rsid w:val="6CB05811"/>
    <w:rsid w:val="6CF3643A"/>
    <w:rsid w:val="6D9632D6"/>
    <w:rsid w:val="6DCA3B30"/>
    <w:rsid w:val="6DED1766"/>
    <w:rsid w:val="6DF139EF"/>
    <w:rsid w:val="6E3C2B6A"/>
    <w:rsid w:val="6E6E7F2A"/>
    <w:rsid w:val="6E725242"/>
    <w:rsid w:val="6E965EC4"/>
    <w:rsid w:val="6E9C3E88"/>
    <w:rsid w:val="6EAF50A7"/>
    <w:rsid w:val="6EC61449"/>
    <w:rsid w:val="6ED177DA"/>
    <w:rsid w:val="6F061A76"/>
    <w:rsid w:val="6F410D93"/>
    <w:rsid w:val="6F4A74A4"/>
    <w:rsid w:val="6F5F10E5"/>
    <w:rsid w:val="6F822723"/>
    <w:rsid w:val="6FC4136C"/>
    <w:rsid w:val="6FD04AFC"/>
    <w:rsid w:val="6FD47408"/>
    <w:rsid w:val="6FD8258B"/>
    <w:rsid w:val="6FEA15AC"/>
    <w:rsid w:val="6FF30BB6"/>
    <w:rsid w:val="700529B7"/>
    <w:rsid w:val="70065659"/>
    <w:rsid w:val="70113072"/>
    <w:rsid w:val="70173375"/>
    <w:rsid w:val="701F6E14"/>
    <w:rsid w:val="70335223"/>
    <w:rsid w:val="70676382"/>
    <w:rsid w:val="709848AF"/>
    <w:rsid w:val="70FA71EB"/>
    <w:rsid w:val="71A74D85"/>
    <w:rsid w:val="71B43E9D"/>
    <w:rsid w:val="71C80B3D"/>
    <w:rsid w:val="71CD585B"/>
    <w:rsid w:val="71F21D23"/>
    <w:rsid w:val="72401A80"/>
    <w:rsid w:val="7251199A"/>
    <w:rsid w:val="7254291F"/>
    <w:rsid w:val="729E5448"/>
    <w:rsid w:val="72C46456"/>
    <w:rsid w:val="72CC5B95"/>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732515"/>
    <w:rsid w:val="7585185D"/>
    <w:rsid w:val="75995C2D"/>
    <w:rsid w:val="75E91581"/>
    <w:rsid w:val="75E95CFE"/>
    <w:rsid w:val="77673652"/>
    <w:rsid w:val="77740D08"/>
    <w:rsid w:val="7776420B"/>
    <w:rsid w:val="778D7463"/>
    <w:rsid w:val="779163FB"/>
    <w:rsid w:val="77E757C4"/>
    <w:rsid w:val="78131B3E"/>
    <w:rsid w:val="784A5BBA"/>
    <w:rsid w:val="789801E6"/>
    <w:rsid w:val="790E68AB"/>
    <w:rsid w:val="796E4346"/>
    <w:rsid w:val="79990A0D"/>
    <w:rsid w:val="79AE5130"/>
    <w:rsid w:val="79D704F2"/>
    <w:rsid w:val="79E7658E"/>
    <w:rsid w:val="79F57AA2"/>
    <w:rsid w:val="79F964A8"/>
    <w:rsid w:val="7A423425"/>
    <w:rsid w:val="7A610456"/>
    <w:rsid w:val="7A6300D6"/>
    <w:rsid w:val="7AAD2AD4"/>
    <w:rsid w:val="7AAE1BAE"/>
    <w:rsid w:val="7AC9440C"/>
    <w:rsid w:val="7B186900"/>
    <w:rsid w:val="7B3B2338"/>
    <w:rsid w:val="7BA051AE"/>
    <w:rsid w:val="7BCD512A"/>
    <w:rsid w:val="7BF42DEB"/>
    <w:rsid w:val="7C0C6CFB"/>
    <w:rsid w:val="7C0F7FDD"/>
    <w:rsid w:val="7C1957C0"/>
    <w:rsid w:val="7C225B08"/>
    <w:rsid w:val="7CA4518D"/>
    <w:rsid w:val="7CC940C8"/>
    <w:rsid w:val="7D1379BF"/>
    <w:rsid w:val="7D1E1D49"/>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2026-01-13T04:21:17Z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5C627BE224E64C158D9F2107F5A65972</vt:lpwstr>
  </property>
</Properties>
</file>