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256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eastAsia="宋体" w:cs="宋体"/>
                <w:color w:val="000000"/>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0.15</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-1.15%）</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1.65%-2.65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color w:val="000000"/>
                <w:highlight w:val="none"/>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w:t>
            </w:r>
            <w:r>
              <w:rPr>
                <w:rFonts w:hint="eastAsia" w:eastAsia="楷体_GB2312"/>
                <w:lang w:eastAsia="zh-CN"/>
              </w:rPr>
              <w:t>常熟农商银行发布的公告</w:t>
            </w:r>
            <w:r>
              <w:rPr>
                <w:rFonts w:hint="eastAsia" w:eastAsia="楷体_GB2312"/>
                <w:color w:val="000000"/>
              </w:rPr>
              <w:t>。</w:t>
            </w:r>
          </w:p>
          <w:p>
            <w:pPr>
              <w:spacing w:beforeLines="0" w:afterLines="0" w:line="360" w:lineRule="exact"/>
              <w:rPr>
                <w:rFonts w:ascii="Times New Roman" w:hAnsi="Times New Roman" w:eastAsia="楷体_GB2312"/>
                <w:b/>
                <w:bCs/>
                <w:color w:val="000000"/>
                <w:highlight w:val="cyan"/>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w:t>
            </w:r>
            <w:r>
              <w:rPr>
                <w:rFonts w:hint="eastAsia" w:ascii="楷体" w:hAnsi="楷体" w:eastAsia="楷体" w:cs="楷体"/>
                <w:color w:val="000000"/>
                <w:highlight w:val="none"/>
                <w:lang w:val="en-US" w:eastAsia="zh-CN"/>
              </w:rPr>
              <w:t>固定</w:t>
            </w:r>
            <w:r>
              <w:rPr>
                <w:rFonts w:hint="eastAsia" w:ascii="楷体" w:hAnsi="楷体" w:eastAsia="楷体" w:cs="楷体"/>
                <w:color w:val="000000"/>
                <w:highlight w:val="none"/>
                <w:lang w:val="en-US" w:eastAsia="zh-CN"/>
              </w:rPr>
              <w:t>管理费、托管费等相关费用后产品年化收益较为可能的波动幅度，并结合产品投资策略进行测算</w:t>
            </w:r>
            <w:r>
              <w:rPr>
                <w:rFonts w:hint="eastAsia" w:ascii="楷体" w:hAnsi="楷体" w:eastAsia="楷体" w:cs="楷体"/>
                <w:color w:val="000000"/>
                <w:highlight w:val="none"/>
                <w:lang w:val="en-US" w:eastAsia="zh-CN"/>
              </w:rPr>
              <w:t>得出</w:t>
            </w:r>
            <w:r>
              <w:rPr>
                <w:rFonts w:hint="eastAsia" w:ascii="楷体" w:hAnsi="楷体" w:eastAsia="楷体" w:cs="楷体"/>
                <w:color w:val="000000"/>
                <w:highlight w:val="none"/>
                <w:lang w:val="en-US" w:eastAsia="zh-CN"/>
              </w:rPr>
              <w:t>。（业绩比较基准测算仅供参考，具体投资比例可根据各类资产的收益水平、流动性特征、信用风险等因素动态调整，投资范围、投资策略详见以下“产品的投资范围和投资策略”）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认购费：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申购费</w:t>
            </w:r>
            <w:r>
              <w:rPr>
                <w:rFonts w:hint="eastAsia" w:ascii="楷体_GB2312" w:hAnsi="Times New Roman" w:eastAsia="楷体_GB2312"/>
                <w:b/>
                <w:bCs/>
                <w:color w:val="000000"/>
                <w:u w:val="single"/>
              </w:rPr>
              <w:t>：</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rPr>
              <w:t>赎回费：</w:t>
            </w:r>
            <w:r>
              <w:rPr>
                <w:rFonts w:ascii="楷体_GB2312" w:hAnsi="Times New Roman" w:eastAsia="楷体_GB2312"/>
                <w:b/>
                <w:bCs/>
                <w:color w:val="000000"/>
                <w:u w:val="single"/>
              </w:rPr>
              <w:t>0%/</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w:t>
            </w:r>
          </w:p>
          <w:p>
            <w:pPr>
              <w:numPr>
                <w:ilvl w:val="0"/>
                <w:numId w:val="1"/>
              </w:numPr>
              <w:snapToGrid w:val="0"/>
              <w:spacing w:line="360" w:lineRule="exact"/>
              <w:rPr>
                <w:rFonts w:ascii="楷体_GB2312" w:hAnsi="Times New Roman" w:eastAsia="楷体_GB2312"/>
                <w:b/>
                <w:bCs/>
                <w:color w:val="000000"/>
              </w:rPr>
            </w:pPr>
            <w:r>
              <w:rPr>
                <w:rFonts w:hint="eastAsia" w:ascii="楷体_GB2312" w:hAnsi="Times New Roman" w:eastAsia="楷体_GB2312"/>
                <w:b/>
                <w:bCs/>
                <w:color w:val="000000"/>
                <w:lang w:val="en-US" w:eastAsia="zh-CN"/>
              </w:rPr>
              <w:t>固定</w:t>
            </w:r>
            <w:r>
              <w:rPr>
                <w:rFonts w:hint="eastAsia" w:ascii="楷体_GB2312" w:hAnsi="Times New Roman" w:eastAsia="楷体_GB2312"/>
                <w:b/>
                <w:bCs/>
                <w:color w:val="000000"/>
              </w:rPr>
              <w:t>管理费、托管费：</w:t>
            </w:r>
          </w:p>
          <w:p>
            <w:pPr>
              <w:spacing w:line="360" w:lineRule="exact"/>
              <w:rPr>
                <w:rFonts w:ascii="楷体_GB2312"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0.5%/</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提取固定管理费</w:t>
            </w:r>
            <w:r>
              <w:rPr>
                <w:rFonts w:hint="eastAsia" w:ascii="楷体_GB2312" w:eastAsia="楷体_GB2312"/>
                <w:b/>
                <w:bCs/>
                <w:color w:val="000000"/>
              </w:rPr>
              <w:t>。</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每日计提的固定管理费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0.5</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本产品按照资产净值的</w:t>
            </w:r>
            <w:r>
              <w:rPr>
                <w:rFonts w:ascii="楷体_GB2312" w:hAnsi="Times New Roman" w:eastAsia="楷体_GB2312"/>
                <w:b/>
                <w:bCs/>
                <w:color w:val="000000"/>
                <w:u w:val="single"/>
              </w:rPr>
              <w:t>0.01%/</w:t>
            </w:r>
            <w:r>
              <w:rPr>
                <w:rFonts w:hint="eastAsia" w:ascii="楷体_GB2312" w:hAnsi="Times New Roman" w:eastAsia="楷体_GB2312"/>
                <w:b/>
                <w:bCs/>
                <w:color w:val="000000"/>
                <w:u w:val="single"/>
              </w:rPr>
              <w:t>年</w:t>
            </w:r>
            <w:r>
              <w:rPr>
                <w:rFonts w:hint="eastAsia" w:ascii="楷体_GB2312" w:hAnsi="Times New Roman" w:eastAsia="楷体_GB2312"/>
                <w:b/>
                <w:bCs/>
                <w:color w:val="000000"/>
              </w:rPr>
              <w:t>提取托管费。</w:t>
            </w:r>
          </w:p>
          <w:p>
            <w:pPr>
              <w:spacing w:line="360" w:lineRule="exact"/>
              <w:rPr>
                <w:rFonts w:ascii="楷体_GB2312" w:hAnsi="Times New Roman" w:eastAsia="楷体_GB2312"/>
                <w:b/>
                <w:bCs/>
                <w:color w:val="000000"/>
              </w:rPr>
            </w:pPr>
            <w:r>
              <w:rPr>
                <w:rFonts w:hint="eastAsia" w:ascii="楷体_GB2312" w:hAnsi="Times New Roman" w:eastAsia="楷体_GB2312"/>
                <w:b/>
                <w:bCs/>
                <w:color w:val="000000"/>
              </w:rPr>
              <w:t>每日计提的托管费</w:t>
            </w:r>
            <w:r>
              <w:rPr>
                <w:rFonts w:ascii="楷体_GB2312" w:hAnsi="Times New Roman" w:eastAsia="楷体_GB2312"/>
                <w:b/>
                <w:bCs/>
                <w:color w:val="000000"/>
              </w:rPr>
              <w:t>=</w:t>
            </w:r>
            <w:r>
              <w:rPr>
                <w:rFonts w:hint="eastAsia" w:ascii="楷体_GB2312" w:hAnsi="Times New Roman" w:eastAsia="楷体_GB2312"/>
                <w:b/>
                <w:bCs/>
                <w:color w:val="000000"/>
              </w:rPr>
              <w:t>每日资产净值×</w:t>
            </w:r>
            <w:r>
              <w:rPr>
                <w:rFonts w:ascii="楷体_GB2312" w:hAnsi="Times New Roman" w:eastAsia="楷体_GB2312"/>
                <w:b/>
                <w:bCs/>
                <w:color w:val="000000"/>
                <w:u w:val="single"/>
              </w:rPr>
              <w:t>0.01</w:t>
            </w:r>
            <w:r>
              <w:rPr>
                <w:rFonts w:ascii="楷体_GB2312" w:hAnsi="Times New Roman" w:eastAsia="楷体_GB2312"/>
                <w:b/>
                <w:bCs/>
                <w:color w:val="000000"/>
              </w:rPr>
              <w:t>%</w:t>
            </w:r>
            <w:r>
              <w:rPr>
                <w:rFonts w:hint="eastAsia" w:ascii="楷体_GB2312" w:hAnsi="Times New Roman" w:eastAsia="楷体_GB2312"/>
                <w:b/>
                <w:bCs/>
                <w:color w:val="000000"/>
              </w:rPr>
              <w:t>／</w:t>
            </w:r>
            <w:r>
              <w:rPr>
                <w:rFonts w:ascii="楷体_GB2312" w:hAnsi="Times New Roman" w:eastAsia="楷体_GB2312"/>
                <w:b/>
                <w:bCs/>
                <w:color w:val="000000"/>
              </w:rPr>
              <w:t>365</w:t>
            </w:r>
          </w:p>
          <w:p>
            <w:pPr>
              <w:spacing w:line="360" w:lineRule="exact"/>
              <w:rPr>
                <w:rFonts w:hint="eastAsia" w:ascii="楷体_GB2312" w:hAnsi="Times New Roman" w:eastAsia="楷体_GB2312"/>
                <w:b/>
                <w:bCs/>
                <w:color w:val="000000"/>
              </w:rPr>
            </w:pPr>
            <w:r>
              <w:rPr>
                <w:rFonts w:hint="eastAsia" w:ascii="楷体_GB2312" w:hAnsi="Times New Roman" w:eastAsia="楷体_GB2312"/>
                <w:b/>
                <w:bCs/>
                <w:color w:val="000000"/>
              </w:rPr>
              <w:t>产品固定管理费、托管费每日计提</w:t>
            </w:r>
            <w:r>
              <w:rPr>
                <w:rFonts w:hint="eastAsia"/>
                <w:b/>
                <w:bCs/>
                <w:color w:val="000000"/>
              </w:rPr>
              <w:t>，</w:t>
            </w:r>
            <w:r>
              <w:rPr>
                <w:rFonts w:hint="eastAsia" w:ascii="楷体_GB2312" w:hAnsi="Times New Roman" w:eastAsia="楷体_GB2312"/>
                <w:b/>
                <w:bCs/>
                <w:color w:val="000000"/>
              </w:rPr>
              <w:t>管理人有权根据实际情况自行提取固定管理费。</w:t>
            </w:r>
          </w:p>
          <w:p>
            <w:pPr>
              <w:spacing w:line="360" w:lineRule="exact"/>
              <w:rPr>
                <w:rFonts w:ascii="楷体_GB2312" w:hAnsi="Times New Roman" w:eastAsia="楷体_GB2312"/>
                <w:b/>
                <w:bCs/>
                <w:color w:val="000000"/>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color w:val="000000"/>
              </w:rPr>
            </w:pPr>
            <w:r>
              <w:rPr>
                <w:rFonts w:hint="eastAsia" w:ascii="楷体_GB2312" w:hAnsi="Times New Roman" w:eastAsia="楷体_GB2312"/>
                <w:color w:val="000000"/>
                <w:lang w:val="en-US" w:eastAsia="zh-CN"/>
              </w:rPr>
              <w:t>6、</w:t>
            </w:r>
            <w:r>
              <w:rPr>
                <w:rFonts w:hint="eastAsia" w:ascii="楷体_GB2312" w:hAnsi="Times New Roman" w:eastAsia="楷体_GB2312"/>
                <w:color w:val="000000"/>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w:t>
      </w:r>
      <w:r>
        <w:rPr>
          <w:rFonts w:hint="eastAsia" w:eastAsia="楷体_GB2312"/>
          <w:lang w:eastAsia="zh-CN"/>
        </w:rPr>
        <w:t>详见常熟农商银行各理财销售渠道</w:t>
      </w:r>
      <w:r>
        <w:rPr>
          <w:rFonts w:hint="eastAsia" w:eastAsia="楷体_GB2312"/>
          <w:color w:val="000000"/>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359" w:firstLineChars="171"/>
        <w:rPr>
          <w:rFonts w:eastAsia="楷体_GB2312"/>
          <w:color w:val="000000"/>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r>
        <w:rPr>
          <w:rFonts w:hint="eastAsia" w:eastAsia="楷体_GB2312"/>
          <w:color w:val="000000"/>
        </w:rPr>
        <w:t>。</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w:t>
      </w:r>
      <w:r>
        <w:rPr>
          <w:rFonts w:hint="eastAsia" w:eastAsia="楷体_GB2312"/>
          <w:color w:val="000000"/>
          <w:lang w:eastAsia="zh-CN"/>
        </w:rPr>
        <w:t>下限</w:t>
      </w:r>
      <w:r>
        <w:rPr>
          <w:rFonts w:hint="eastAsia" w:eastAsia="楷体_GB2312"/>
          <w:color w:val="000000"/>
          <w:lang w:val="en-US" w:eastAsia="zh-CN"/>
        </w:rPr>
        <w:t>R1</w:t>
      </w:r>
      <w:r>
        <w:rPr>
          <w:rFonts w:hint="eastAsia" w:eastAsia="楷体_GB2312"/>
          <w:color w:val="000000"/>
        </w:rPr>
        <w:t>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hint="eastAsia" w:eastAsia="楷体_GB2312"/>
          <w:color w:val="000000"/>
          <w:lang w:eastAsia="zh-CN"/>
        </w:rPr>
        <w:t>下限</w:t>
      </w:r>
      <w:r>
        <w:rPr>
          <w:rFonts w:hint="eastAsia" w:eastAsia="楷体_GB2312"/>
          <w:color w:val="000000"/>
          <w:lang w:val="en-US" w:eastAsia="zh-CN"/>
        </w:rPr>
        <w:t xml:space="preserve">R1 </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w:t>
      </w:r>
      <w:r>
        <w:rPr>
          <w:rFonts w:hint="eastAsia" w:eastAsia="楷体_GB2312"/>
          <w:color w:val="000000"/>
          <w:lang w:eastAsia="zh-CN"/>
        </w:rPr>
        <w:t>超额</w:t>
      </w:r>
      <w:r>
        <w:rPr>
          <w:rFonts w:hint="eastAsia" w:eastAsia="楷体_GB2312"/>
          <w:color w:val="000000"/>
        </w:rPr>
        <w:t>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w:t>
      </w:r>
      <w:r>
        <w:rPr>
          <w:rFonts w:hint="eastAsia" w:eastAsia="楷体_GB2312"/>
          <w:color w:val="000000"/>
          <w:lang w:eastAsia="zh-CN"/>
        </w:rPr>
        <w:t>期间</w:t>
      </w:r>
      <w:r>
        <w:rPr>
          <w:rFonts w:hint="eastAsia" w:eastAsia="楷体_GB2312"/>
          <w:color w:val="000000"/>
        </w:rPr>
        <w:t>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w:t>
      </w:r>
      <w:r>
        <w:rPr>
          <w:rFonts w:hint="eastAsia" w:eastAsia="楷体_GB2312"/>
          <w:color w:val="000000"/>
          <w:lang w:eastAsia="zh-CN"/>
        </w:rPr>
        <w:t>超额</w:t>
      </w:r>
      <w:r>
        <w:rPr>
          <w:rFonts w:hint="eastAsia" w:eastAsia="楷体_GB2312"/>
          <w:color w:val="000000"/>
        </w:rPr>
        <w:t>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31"/>
      <w:bookmarkStart w:id="1" w:name="_Toc24442816"/>
      <w:bookmarkStart w:id="2" w:name="_Toc24442988"/>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bookmarkStart w:id="8" w:name="_GoBack"/>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bookmarkEnd w:id="8"/>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24442823"/>
      <w:bookmarkStart w:id="6" w:name="_Toc37147671"/>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0"/>
          <w:rFonts w:ascii="宋体" w:hAnsi="宋体" w:cs="宋体"/>
          <w:color w:val="000000"/>
          <w:kern w:val="0"/>
          <w:sz w:val="18"/>
          <w:szCs w:val="18"/>
        </w:rPr>
        <w:t>www.</w:t>
      </w:r>
      <w:r>
        <w:rPr>
          <w:rStyle w:val="10"/>
          <w:rFonts w:hint="eastAsia" w:ascii="宋体" w:hAnsi="宋体" w:cs="宋体"/>
          <w:color w:val="000000"/>
          <w:kern w:val="0"/>
          <w:sz w:val="18"/>
          <w:szCs w:val="18"/>
        </w:rPr>
        <w:t>csrcbank</w:t>
      </w:r>
      <w:r>
        <w:rPr>
          <w:rStyle w:val="10"/>
          <w:rFonts w:ascii="宋体" w:hAnsi="宋体" w:cs="宋体"/>
          <w:color w:val="000000"/>
          <w:kern w:val="0"/>
          <w:sz w:val="18"/>
          <w:szCs w:val="18"/>
        </w:rPr>
        <w:t>.com</w:t>
      </w:r>
      <w:r>
        <w:rPr>
          <w:rStyle w:val="10"/>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20277D8"/>
    <w:rsid w:val="0237530C"/>
    <w:rsid w:val="02485D4E"/>
    <w:rsid w:val="02840131"/>
    <w:rsid w:val="028E264D"/>
    <w:rsid w:val="02C14713"/>
    <w:rsid w:val="02CA1312"/>
    <w:rsid w:val="02EF77E1"/>
    <w:rsid w:val="03243133"/>
    <w:rsid w:val="036C6DAA"/>
    <w:rsid w:val="03E531F1"/>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A258E"/>
    <w:rsid w:val="072B6851"/>
    <w:rsid w:val="0731731F"/>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B26D5"/>
    <w:rsid w:val="0CB17E61"/>
    <w:rsid w:val="0CC42696"/>
    <w:rsid w:val="0D552B6D"/>
    <w:rsid w:val="0D6A7733"/>
    <w:rsid w:val="0D7359A1"/>
    <w:rsid w:val="0D8C100B"/>
    <w:rsid w:val="0D9C536D"/>
    <w:rsid w:val="0DC76AD5"/>
    <w:rsid w:val="0E183F30"/>
    <w:rsid w:val="0E1A7433"/>
    <w:rsid w:val="0E217209"/>
    <w:rsid w:val="0E240FCD"/>
    <w:rsid w:val="0E8C5D7C"/>
    <w:rsid w:val="0E8F15F0"/>
    <w:rsid w:val="0EA31E5A"/>
    <w:rsid w:val="0EB44007"/>
    <w:rsid w:val="0EB47D53"/>
    <w:rsid w:val="0ED158DD"/>
    <w:rsid w:val="103764A9"/>
    <w:rsid w:val="105B1B61"/>
    <w:rsid w:val="10807BA2"/>
    <w:rsid w:val="10997447"/>
    <w:rsid w:val="10A854E3"/>
    <w:rsid w:val="11044578"/>
    <w:rsid w:val="114A726B"/>
    <w:rsid w:val="116B08B9"/>
    <w:rsid w:val="116F3C27"/>
    <w:rsid w:val="1186384C"/>
    <w:rsid w:val="11D3174D"/>
    <w:rsid w:val="12111CE2"/>
    <w:rsid w:val="12374872"/>
    <w:rsid w:val="125633BB"/>
    <w:rsid w:val="12683545"/>
    <w:rsid w:val="128F1B00"/>
    <w:rsid w:val="12A32D1F"/>
    <w:rsid w:val="12C82F5F"/>
    <w:rsid w:val="12D304A4"/>
    <w:rsid w:val="12E654FE"/>
    <w:rsid w:val="13180760"/>
    <w:rsid w:val="13574BF4"/>
    <w:rsid w:val="13664799"/>
    <w:rsid w:val="13853312"/>
    <w:rsid w:val="13860D94"/>
    <w:rsid w:val="13AD22D8"/>
    <w:rsid w:val="13B35317"/>
    <w:rsid w:val="13E56022"/>
    <w:rsid w:val="13FA6B54"/>
    <w:rsid w:val="13FC2057"/>
    <w:rsid w:val="142D60AA"/>
    <w:rsid w:val="14480E52"/>
    <w:rsid w:val="1462527F"/>
    <w:rsid w:val="14A127E5"/>
    <w:rsid w:val="14A8724E"/>
    <w:rsid w:val="14DD6A4A"/>
    <w:rsid w:val="15584512"/>
    <w:rsid w:val="15596EC0"/>
    <w:rsid w:val="15995898"/>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B60219"/>
    <w:rsid w:val="18D944D4"/>
    <w:rsid w:val="18DD7D48"/>
    <w:rsid w:val="18DF3E5F"/>
    <w:rsid w:val="191142D4"/>
    <w:rsid w:val="193225E4"/>
    <w:rsid w:val="197874D5"/>
    <w:rsid w:val="19A50560"/>
    <w:rsid w:val="19D4203E"/>
    <w:rsid w:val="19DC4FFB"/>
    <w:rsid w:val="19E908B9"/>
    <w:rsid w:val="1A29778A"/>
    <w:rsid w:val="1A300983"/>
    <w:rsid w:val="1A491DAC"/>
    <w:rsid w:val="1A8F0322"/>
    <w:rsid w:val="1AAF48E3"/>
    <w:rsid w:val="1B171500"/>
    <w:rsid w:val="1B3724A7"/>
    <w:rsid w:val="1B3F1135"/>
    <w:rsid w:val="1BC85AA0"/>
    <w:rsid w:val="1C2E0BDD"/>
    <w:rsid w:val="1C392F29"/>
    <w:rsid w:val="1C4B58B8"/>
    <w:rsid w:val="1C6F2DB6"/>
    <w:rsid w:val="1C7F1A3E"/>
    <w:rsid w:val="1C951971"/>
    <w:rsid w:val="1C9945C4"/>
    <w:rsid w:val="1CB15A1E"/>
    <w:rsid w:val="1D5079E6"/>
    <w:rsid w:val="1D86477C"/>
    <w:rsid w:val="1D9E2AC6"/>
    <w:rsid w:val="1DBA3E18"/>
    <w:rsid w:val="1E0E375C"/>
    <w:rsid w:val="1E2C078D"/>
    <w:rsid w:val="1E414EAF"/>
    <w:rsid w:val="1E5D6D5E"/>
    <w:rsid w:val="1EBE5AFE"/>
    <w:rsid w:val="1EF67E9C"/>
    <w:rsid w:val="1F163F8E"/>
    <w:rsid w:val="1F4958D9"/>
    <w:rsid w:val="1FFD5EF7"/>
    <w:rsid w:val="20031085"/>
    <w:rsid w:val="20174E36"/>
    <w:rsid w:val="204C6209"/>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AE1C87"/>
    <w:rsid w:val="22E31B8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C512CF"/>
    <w:rsid w:val="27E53D82"/>
    <w:rsid w:val="27FD0B92"/>
    <w:rsid w:val="28405395"/>
    <w:rsid w:val="285862BF"/>
    <w:rsid w:val="2881190E"/>
    <w:rsid w:val="28BC293D"/>
    <w:rsid w:val="28F76BC7"/>
    <w:rsid w:val="29095BA3"/>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475FFA"/>
    <w:rsid w:val="2E627EA9"/>
    <w:rsid w:val="2E922BF6"/>
    <w:rsid w:val="2EF54743"/>
    <w:rsid w:val="2F5B483E"/>
    <w:rsid w:val="2FCF25FE"/>
    <w:rsid w:val="305B7C64"/>
    <w:rsid w:val="309E19D2"/>
    <w:rsid w:val="30BE2751"/>
    <w:rsid w:val="30C5586F"/>
    <w:rsid w:val="30E65649"/>
    <w:rsid w:val="316C6324"/>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E17CB"/>
    <w:rsid w:val="376A7A76"/>
    <w:rsid w:val="37C13D08"/>
    <w:rsid w:val="384D38EC"/>
    <w:rsid w:val="38D45B95"/>
    <w:rsid w:val="39057817"/>
    <w:rsid w:val="392E091B"/>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F25354"/>
    <w:rsid w:val="3F494FE9"/>
    <w:rsid w:val="3FA163F2"/>
    <w:rsid w:val="3FC55E64"/>
    <w:rsid w:val="402356C6"/>
    <w:rsid w:val="40267F87"/>
    <w:rsid w:val="403147CD"/>
    <w:rsid w:val="40516596"/>
    <w:rsid w:val="405E4CFE"/>
    <w:rsid w:val="410C3445"/>
    <w:rsid w:val="412F645D"/>
    <w:rsid w:val="414D3EAF"/>
    <w:rsid w:val="417A734F"/>
    <w:rsid w:val="41C837F8"/>
    <w:rsid w:val="41D06B49"/>
    <w:rsid w:val="41FD4053"/>
    <w:rsid w:val="425D61F8"/>
    <w:rsid w:val="428B1338"/>
    <w:rsid w:val="42E94F55"/>
    <w:rsid w:val="42F176D0"/>
    <w:rsid w:val="433462CE"/>
    <w:rsid w:val="4359650D"/>
    <w:rsid w:val="43CD51C7"/>
    <w:rsid w:val="43E17BFA"/>
    <w:rsid w:val="4430746A"/>
    <w:rsid w:val="4450106D"/>
    <w:rsid w:val="445A3B32"/>
    <w:rsid w:val="446E05D4"/>
    <w:rsid w:val="44E232A9"/>
    <w:rsid w:val="4506433E"/>
    <w:rsid w:val="455E2608"/>
    <w:rsid w:val="45A5284F"/>
    <w:rsid w:val="45D2476C"/>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55156"/>
    <w:rsid w:val="4D2C1252"/>
    <w:rsid w:val="4D305A5F"/>
    <w:rsid w:val="4D4D4DDF"/>
    <w:rsid w:val="4D5634F0"/>
    <w:rsid w:val="4D5D1F40"/>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923C1E"/>
    <w:rsid w:val="4FBB03DB"/>
    <w:rsid w:val="4FC129A1"/>
    <w:rsid w:val="50120DEA"/>
    <w:rsid w:val="50146E75"/>
    <w:rsid w:val="502A3FA0"/>
    <w:rsid w:val="503F6BEE"/>
    <w:rsid w:val="50BB5D80"/>
    <w:rsid w:val="51186119"/>
    <w:rsid w:val="51291058"/>
    <w:rsid w:val="51322546"/>
    <w:rsid w:val="51465964"/>
    <w:rsid w:val="514C786D"/>
    <w:rsid w:val="51694C1F"/>
    <w:rsid w:val="51827D47"/>
    <w:rsid w:val="51AA7C07"/>
    <w:rsid w:val="51E00BA5"/>
    <w:rsid w:val="52163CAA"/>
    <w:rsid w:val="521C7F46"/>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9B1267"/>
    <w:rsid w:val="56AC22C3"/>
    <w:rsid w:val="56B131D8"/>
    <w:rsid w:val="56CE5F18"/>
    <w:rsid w:val="56FE3FDE"/>
    <w:rsid w:val="573E115F"/>
    <w:rsid w:val="576747DC"/>
    <w:rsid w:val="57AD4F45"/>
    <w:rsid w:val="57DE5EB8"/>
    <w:rsid w:val="57FB5468"/>
    <w:rsid w:val="57FE63ED"/>
    <w:rsid w:val="581B7F1B"/>
    <w:rsid w:val="58D21C48"/>
    <w:rsid w:val="58DB6CD4"/>
    <w:rsid w:val="58DE7C59"/>
    <w:rsid w:val="58E9186D"/>
    <w:rsid w:val="59284BD5"/>
    <w:rsid w:val="593A02F9"/>
    <w:rsid w:val="594D0E06"/>
    <w:rsid w:val="59850E94"/>
    <w:rsid w:val="59B5223B"/>
    <w:rsid w:val="5A3E219F"/>
    <w:rsid w:val="5A432DA3"/>
    <w:rsid w:val="5A81068A"/>
    <w:rsid w:val="5A8A2BB3"/>
    <w:rsid w:val="5B214990"/>
    <w:rsid w:val="5B374935"/>
    <w:rsid w:val="5B4E04D4"/>
    <w:rsid w:val="5B9B0DD6"/>
    <w:rsid w:val="5C096CA9"/>
    <w:rsid w:val="5C2515A2"/>
    <w:rsid w:val="5C372A61"/>
    <w:rsid w:val="5C983E89"/>
    <w:rsid w:val="5CB163A0"/>
    <w:rsid w:val="5CD37BDA"/>
    <w:rsid w:val="5CF15194"/>
    <w:rsid w:val="5CFB5748"/>
    <w:rsid w:val="5D0C1038"/>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E60EAB"/>
    <w:rsid w:val="62187856"/>
    <w:rsid w:val="62246792"/>
    <w:rsid w:val="622C3B9E"/>
    <w:rsid w:val="6231734D"/>
    <w:rsid w:val="623A49C4"/>
    <w:rsid w:val="626016AF"/>
    <w:rsid w:val="62852296"/>
    <w:rsid w:val="62BE0E99"/>
    <w:rsid w:val="62FA54F0"/>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93130A1"/>
    <w:rsid w:val="69790F04"/>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9632D6"/>
    <w:rsid w:val="6DCA3B30"/>
    <w:rsid w:val="6DED1766"/>
    <w:rsid w:val="6DF139EF"/>
    <w:rsid w:val="6E3C2B6A"/>
    <w:rsid w:val="6E6E7F2A"/>
    <w:rsid w:val="6E725242"/>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40694D"/>
    <w:rsid w:val="71A74D85"/>
    <w:rsid w:val="71B43E9D"/>
    <w:rsid w:val="71C80B3D"/>
    <w:rsid w:val="71CD585B"/>
    <w:rsid w:val="71CE7C91"/>
    <w:rsid w:val="71F21D23"/>
    <w:rsid w:val="72141D3C"/>
    <w:rsid w:val="722269D3"/>
    <w:rsid w:val="72401A80"/>
    <w:rsid w:val="7251199A"/>
    <w:rsid w:val="7254291F"/>
    <w:rsid w:val="729E5448"/>
    <w:rsid w:val="72C46456"/>
    <w:rsid w:val="72CC5B95"/>
    <w:rsid w:val="73662FED"/>
    <w:rsid w:val="73763CFB"/>
    <w:rsid w:val="737F6B89"/>
    <w:rsid w:val="739003CE"/>
    <w:rsid w:val="739A0A38"/>
    <w:rsid w:val="73C31BFC"/>
    <w:rsid w:val="73CD470A"/>
    <w:rsid w:val="73F80DD1"/>
    <w:rsid w:val="742E40BB"/>
    <w:rsid w:val="7457466E"/>
    <w:rsid w:val="74694588"/>
    <w:rsid w:val="7475315E"/>
    <w:rsid w:val="74C04F97"/>
    <w:rsid w:val="74D12A3C"/>
    <w:rsid w:val="74FA76FB"/>
    <w:rsid w:val="750D5096"/>
    <w:rsid w:val="75470F55"/>
    <w:rsid w:val="75732515"/>
    <w:rsid w:val="7585185D"/>
    <w:rsid w:val="759871F9"/>
    <w:rsid w:val="75E91581"/>
    <w:rsid w:val="75E95CFE"/>
    <w:rsid w:val="76010E26"/>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F42DEB"/>
    <w:rsid w:val="7C0F7FDD"/>
    <w:rsid w:val="7C997C61"/>
    <w:rsid w:val="7CA01C22"/>
    <w:rsid w:val="7CA4518D"/>
    <w:rsid w:val="7CC940C8"/>
    <w:rsid w:val="7D1379BF"/>
    <w:rsid w:val="7D3E5210"/>
    <w:rsid w:val="7D7265C6"/>
    <w:rsid w:val="7DC62CE6"/>
    <w:rsid w:val="7DD86484"/>
    <w:rsid w:val="7DF30332"/>
    <w:rsid w:val="7E34216C"/>
    <w:rsid w:val="7E7B17D5"/>
    <w:rsid w:val="7F095439"/>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2026-01-13T04:15:39Z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F463181C746F43D5B488A60D2E208B8D</vt:lpwstr>
  </property>
</Properties>
</file>