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黑体" w:hAnsi="黑体" w:eastAsia="黑体" w:cs="黑体"/>
          <w:b/>
          <w:bCs/>
          <w:sz w:val="36"/>
          <w:szCs w:val="36"/>
          <w:lang w:eastAsia="zh-CN"/>
        </w:rPr>
      </w:pPr>
      <w:r>
        <w:rPr>
          <w:rFonts w:hint="eastAsia" w:ascii="黑体" w:hAnsi="黑体" w:eastAsia="黑体" w:cs="黑体"/>
          <w:b/>
          <w:bCs/>
          <w:sz w:val="36"/>
          <w:szCs w:val="36"/>
          <w:lang w:eastAsia="zh-CN"/>
        </w:rPr>
        <w:t>附件</w:t>
      </w:r>
    </w:p>
    <w:p>
      <w:pPr>
        <w:jc w:val="center"/>
        <w:rPr>
          <w:rFonts w:hint="eastAsia" w:ascii="黑体" w:hAnsi="黑体" w:eastAsia="黑体" w:cs="黑体"/>
          <w:b/>
          <w:bCs/>
          <w:sz w:val="36"/>
          <w:szCs w:val="36"/>
          <w:lang w:eastAsia="zh-CN"/>
        </w:rPr>
      </w:pPr>
    </w:p>
    <w:p>
      <w:pPr>
        <w:jc w:val="center"/>
        <w:rPr>
          <w:rFonts w:ascii="黑体" w:hAnsi="黑体" w:eastAsia="黑体" w:cs="黑体"/>
          <w:b/>
          <w:bCs/>
          <w:sz w:val="36"/>
          <w:szCs w:val="36"/>
          <w:lang w:eastAsia="zh-CN"/>
        </w:rPr>
      </w:pPr>
      <w:r>
        <w:rPr>
          <w:rFonts w:hint="eastAsia" w:ascii="黑体" w:hAnsi="黑体" w:eastAsia="黑体" w:cs="黑体"/>
          <w:b/>
          <w:bCs/>
          <w:sz w:val="36"/>
          <w:szCs w:val="36"/>
          <w:lang w:eastAsia="zh-CN"/>
        </w:rPr>
        <w:t>易门兴福村镇银行股份有限公司</w:t>
      </w:r>
    </w:p>
    <w:p>
      <w:pPr>
        <w:jc w:val="center"/>
        <w:rPr>
          <w:rFonts w:ascii="黑体" w:hAnsi="黑体" w:eastAsia="黑体" w:cs="黑体"/>
          <w:b/>
          <w:bCs/>
          <w:sz w:val="36"/>
          <w:szCs w:val="36"/>
          <w:lang w:eastAsia="zh-CN"/>
        </w:rPr>
      </w:pPr>
      <w:r>
        <w:rPr>
          <w:rFonts w:hint="eastAsia" w:ascii="黑体" w:hAnsi="黑体" w:eastAsia="黑体" w:cs="黑体"/>
          <w:b/>
          <w:bCs/>
          <w:sz w:val="36"/>
          <w:szCs w:val="36"/>
          <w:lang w:eastAsia="zh-CN"/>
        </w:rPr>
        <w:t>202</w:t>
      </w: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6</w:t>
      </w:r>
      <w:r>
        <w:rPr>
          <w:rFonts w:hint="eastAsia" w:ascii="黑体" w:hAnsi="黑体" w:eastAsia="黑体" w:cs="黑体"/>
          <w:b/>
          <w:bCs/>
          <w:sz w:val="36"/>
          <w:szCs w:val="36"/>
          <w:lang w:eastAsia="zh-CN"/>
        </w:rPr>
        <w:t>年半年度第三支柱信息披露报告</w:t>
      </w:r>
    </w:p>
    <w:p>
      <w:pPr>
        <w:rPr>
          <w:rFonts w:ascii="仿宋" w:hAnsi="仿宋" w:eastAsia="仿宋" w:cs="仿宋"/>
          <w:sz w:val="28"/>
          <w:szCs w:val="28"/>
          <w:lang w:eastAsia="zh-CN"/>
        </w:rPr>
      </w:pP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公司为非国内系统重要性银行，根据《商业银行资本管理办法》（以下简称“办法”），公司属于第三档商业银行，按照办法附件</w:t>
      </w:r>
      <w:r>
        <w:rPr>
          <w:rFonts w:ascii="仿宋" w:hAnsi="仿宋" w:eastAsia="仿宋" w:cs="仿宋"/>
          <w:sz w:val="32"/>
          <w:szCs w:val="32"/>
          <w:lang w:eastAsia="zh-CN"/>
        </w:rPr>
        <w:t>23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《第三档商业银行资本监管规定》，本期公司需披露的报表如附表一：</w:t>
      </w:r>
    </w:p>
    <w:p>
      <w:pPr>
        <w:jc w:val="center"/>
        <w:rPr>
          <w:rFonts w:hint="eastAsia" w:ascii="黑体" w:hAnsi="黑体" w:eastAsia="黑体" w:cs="黑体"/>
          <w:b/>
          <w:bCs/>
          <w:sz w:val="36"/>
          <w:szCs w:val="36"/>
          <w:lang w:eastAsia="zh-CN"/>
        </w:rPr>
      </w:pPr>
    </w:p>
    <w:p>
      <w:pPr>
        <w:spacing w:before="156" w:beforeLines="50"/>
        <w:jc w:val="both"/>
        <w:rPr>
          <w:rFonts w:hint="eastAsia" w:ascii="仿宋" w:hAnsi="仿宋" w:eastAsia="仿宋" w:cs="仿宋"/>
          <w:b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附表一：</w:t>
      </w:r>
    </w:p>
    <w:p>
      <w:pPr>
        <w:jc w:val="center"/>
        <w:rPr>
          <w:rFonts w:hint="eastAsia" w:ascii="黑体" w:hAnsi="黑体" w:eastAsia="黑体" w:cs="黑体"/>
          <w:b/>
          <w:bCs/>
          <w:sz w:val="36"/>
          <w:szCs w:val="36"/>
          <w:lang w:eastAsia="zh-CN"/>
        </w:rPr>
      </w:pPr>
    </w:p>
    <w:p>
      <w:pPr>
        <w:spacing w:before="156" w:beforeLines="50"/>
        <w:jc w:val="center"/>
        <w:rPr>
          <w:rFonts w:ascii="仿宋" w:hAnsi="仿宋" w:eastAsia="仿宋" w:cs="仿宋"/>
          <w:b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关键审慎监管指标</w:t>
      </w:r>
    </w:p>
    <w:p>
      <w:pPr>
        <w:jc w:val="right"/>
        <w:rPr>
          <w:rFonts w:hint="default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eastAsia="zh-CN"/>
        </w:rPr>
        <w:t>单位：人民币万元，</w:t>
      </w:r>
      <w:r>
        <w:rPr>
          <w:rFonts w:hint="eastAsia" w:ascii="仿宋" w:hAnsi="仿宋" w:eastAsia="仿宋" w:cs="仿宋"/>
          <w:lang w:val="en-US" w:eastAsia="zh-CN"/>
        </w:rPr>
        <w:t>%</w:t>
      </w:r>
    </w:p>
    <w:tbl>
      <w:tblPr>
        <w:tblStyle w:val="5"/>
        <w:tblW w:w="5000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2"/>
        <w:gridCol w:w="5765"/>
        <w:gridCol w:w="1440"/>
        <w:gridCol w:w="1503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475" w:type="pct"/>
            <w:gridSpan w:val="2"/>
            <w:vMerge w:val="restart"/>
          </w:tcPr>
          <w:p>
            <w:pPr>
              <w:snapToGrid w:val="0"/>
              <w:spacing w:line="480" w:lineRule="exact"/>
              <w:rPr>
                <w:rFonts w:ascii="仿宋" w:hAnsi="仿宋" w:eastAsia="仿宋" w:cs="Arial Unicode MS"/>
                <w:color w:val="000000"/>
                <w:lang w:eastAsia="zh-CN"/>
              </w:rPr>
            </w:pPr>
          </w:p>
        </w:tc>
        <w:tc>
          <w:tcPr>
            <w:tcW w:w="746" w:type="pct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ascii="仿宋" w:hAnsi="仿宋" w:eastAsia="仿宋" w:cs="Arial Unicode MS"/>
                <w:color w:val="000000"/>
              </w:rPr>
            </w:pPr>
            <w:r>
              <w:rPr>
                <w:rFonts w:ascii="仿宋" w:hAnsi="仿宋" w:eastAsia="仿宋" w:cs="Arial Unicode MS"/>
                <w:color w:val="000000"/>
              </w:rPr>
              <w:t>a</w:t>
            </w:r>
          </w:p>
        </w:tc>
        <w:tc>
          <w:tcPr>
            <w:tcW w:w="778" w:type="pct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ascii="仿宋" w:hAnsi="仿宋" w:eastAsia="仿宋" w:cs="Arial Unicode MS"/>
                <w:color w:val="000000"/>
              </w:rPr>
            </w:pPr>
            <w:r>
              <w:rPr>
                <w:rFonts w:ascii="仿宋" w:hAnsi="仿宋" w:eastAsia="仿宋" w:cs="Arial Unicode MS"/>
                <w:color w:val="000000"/>
              </w:rPr>
              <w:t>b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475" w:type="pct"/>
            <w:gridSpan w:val="2"/>
            <w:vMerge w:val="continue"/>
          </w:tcPr>
          <w:p>
            <w:pPr>
              <w:snapToGrid w:val="0"/>
              <w:spacing w:line="480" w:lineRule="exact"/>
              <w:rPr>
                <w:rFonts w:ascii="仿宋" w:hAnsi="仿宋" w:eastAsia="仿宋" w:cs="Arial Unicode MS"/>
                <w:color w:val="000000"/>
              </w:rPr>
            </w:pPr>
          </w:p>
        </w:tc>
        <w:tc>
          <w:tcPr>
            <w:tcW w:w="746" w:type="pct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default" w:ascii="仿宋" w:hAnsi="仿宋" w:eastAsia="仿宋" w:cs="Arial Unicode MS"/>
                <w:color w:val="000000"/>
                <w:lang w:val="en-US" w:eastAsia="zh-CN"/>
              </w:rPr>
            </w:pPr>
            <w:r>
              <w:rPr>
                <w:rFonts w:hint="eastAsia" w:ascii="仿宋" w:hAnsi="仿宋" w:eastAsia="仿宋" w:cs="Arial Unicode MS"/>
                <w:color w:val="000000"/>
                <w:lang w:val="en-US" w:eastAsia="zh-CN"/>
              </w:rPr>
              <w:t>202606</w:t>
            </w:r>
          </w:p>
        </w:tc>
        <w:tc>
          <w:tcPr>
            <w:tcW w:w="778" w:type="pct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default" w:ascii="仿宋" w:hAnsi="仿宋" w:eastAsia="仿宋" w:cs="Arial Unicode MS"/>
                <w:color w:val="000000"/>
                <w:lang w:val="en-US" w:eastAsia="zh-CN"/>
              </w:rPr>
            </w:pPr>
            <w:r>
              <w:rPr>
                <w:rFonts w:hint="eastAsia" w:ascii="仿宋" w:hAnsi="仿宋" w:eastAsia="仿宋" w:cs="Arial Unicode MS"/>
                <w:color w:val="000000"/>
                <w:lang w:val="en-US" w:eastAsia="zh-CN"/>
              </w:rPr>
              <w:t>202512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000" w:type="pct"/>
            <w:gridSpan w:val="4"/>
            <w:shd w:val="clear" w:color="000000" w:fill="D9D9D9"/>
          </w:tcPr>
          <w:p>
            <w:pPr>
              <w:snapToGrid w:val="0"/>
              <w:spacing w:line="480" w:lineRule="exact"/>
              <w:rPr>
                <w:rFonts w:ascii="仿宋" w:hAnsi="仿宋" w:eastAsia="仿宋" w:cs="Arial Unicode MS"/>
                <w:color w:val="000000"/>
              </w:rPr>
            </w:pPr>
            <w:r>
              <w:rPr>
                <w:rFonts w:hint="eastAsia" w:ascii="仿宋" w:hAnsi="仿宋" w:eastAsia="仿宋" w:cs="Arial Unicode MS"/>
                <w:b/>
                <w:bCs/>
                <w:color w:val="000000"/>
              </w:rPr>
              <w:t>可用资本（数额）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88" w:type="pct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ascii="仿宋" w:hAnsi="仿宋" w:eastAsia="仿宋" w:cs="Arial Unicode MS"/>
                <w:color w:val="000000"/>
              </w:rPr>
            </w:pPr>
            <w:r>
              <w:rPr>
                <w:rFonts w:ascii="仿宋" w:hAnsi="仿宋" w:eastAsia="仿宋" w:cs="Arial Unicode MS"/>
                <w:color w:val="000000"/>
              </w:rPr>
              <w:t>1</w:t>
            </w:r>
          </w:p>
        </w:tc>
        <w:tc>
          <w:tcPr>
            <w:tcW w:w="2987" w:type="pct"/>
            <w:vAlign w:val="center"/>
          </w:tcPr>
          <w:p>
            <w:pPr>
              <w:snapToGrid w:val="0"/>
              <w:spacing w:line="480" w:lineRule="exact"/>
              <w:jc w:val="both"/>
              <w:rPr>
                <w:rFonts w:ascii="仿宋" w:hAnsi="仿宋" w:eastAsia="仿宋" w:cs="Arial Unicode MS"/>
                <w:color w:val="000000"/>
              </w:rPr>
            </w:pPr>
            <w:r>
              <w:rPr>
                <w:rFonts w:hint="eastAsia" w:ascii="仿宋" w:hAnsi="仿宋" w:eastAsia="仿宋" w:cs="Arial Unicode MS"/>
                <w:color w:val="000000"/>
              </w:rPr>
              <w:t>核心一级资本净额</w:t>
            </w:r>
          </w:p>
        </w:tc>
        <w:tc>
          <w:tcPr>
            <w:tcW w:w="746" w:type="pct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default" w:ascii="仿宋" w:hAnsi="仿宋" w:eastAsia="仿宋" w:cs="Arial Unicode MS"/>
                <w:color w:val="000000"/>
                <w:lang w:val="en-US" w:eastAsia="zh-CN"/>
              </w:rPr>
            </w:pPr>
            <w:r>
              <w:rPr>
                <w:rFonts w:hint="eastAsia" w:ascii="仿宋" w:hAnsi="仿宋" w:eastAsia="仿宋" w:cs="Arial Unicode MS"/>
                <w:color w:val="000000"/>
                <w:lang w:val="en-US" w:eastAsia="zh-CN"/>
              </w:rPr>
              <w:t xml:space="preserve">8176.84 </w:t>
            </w:r>
          </w:p>
        </w:tc>
        <w:tc>
          <w:tcPr>
            <w:tcW w:w="778" w:type="pct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eastAsia" w:ascii="仿宋" w:hAnsi="仿宋" w:eastAsia="仿宋" w:cs="Arial Unicode MS"/>
                <w:color w:val="000000"/>
                <w:lang w:val="en-US" w:eastAsia="zh-CN"/>
              </w:rPr>
            </w:pPr>
            <w:r>
              <w:rPr>
                <w:rFonts w:hint="eastAsia" w:ascii="仿宋" w:hAnsi="仿宋" w:eastAsia="仿宋" w:cs="Arial Unicode MS"/>
                <w:color w:val="000000"/>
                <w:lang w:val="en-US" w:eastAsia="zh-CN"/>
              </w:rPr>
              <w:t xml:space="preserve">7956.96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88" w:type="pct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ascii="仿宋" w:hAnsi="仿宋" w:eastAsia="仿宋" w:cs="Arial Unicode MS"/>
                <w:color w:val="000000"/>
              </w:rPr>
            </w:pPr>
            <w:r>
              <w:rPr>
                <w:rFonts w:hint="eastAsia" w:ascii="仿宋" w:hAnsi="仿宋" w:eastAsia="仿宋" w:cs="Arial Unicode MS"/>
                <w:color w:val="000000"/>
              </w:rPr>
              <w:t>2</w:t>
            </w:r>
          </w:p>
        </w:tc>
        <w:tc>
          <w:tcPr>
            <w:tcW w:w="2987" w:type="pct"/>
            <w:vAlign w:val="center"/>
          </w:tcPr>
          <w:p>
            <w:pPr>
              <w:snapToGrid w:val="0"/>
              <w:spacing w:line="480" w:lineRule="exact"/>
              <w:jc w:val="both"/>
              <w:rPr>
                <w:rFonts w:ascii="仿宋" w:hAnsi="仿宋" w:eastAsia="仿宋" w:cs="Arial Unicode MS"/>
                <w:color w:val="000000"/>
              </w:rPr>
            </w:pPr>
            <w:r>
              <w:rPr>
                <w:rFonts w:hint="eastAsia" w:ascii="仿宋" w:hAnsi="仿宋" w:eastAsia="仿宋" w:cs="Arial Unicode MS"/>
                <w:color w:val="000000"/>
              </w:rPr>
              <w:t>资本净额</w:t>
            </w:r>
          </w:p>
        </w:tc>
        <w:tc>
          <w:tcPr>
            <w:tcW w:w="746" w:type="pct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default" w:ascii="仿宋" w:hAnsi="仿宋" w:eastAsia="仿宋" w:cs="Arial Unicode MS"/>
                <w:color w:val="000000"/>
                <w:lang w:val="en-US" w:eastAsia="zh-CN"/>
              </w:rPr>
            </w:pPr>
            <w:r>
              <w:rPr>
                <w:rFonts w:hint="eastAsia" w:ascii="仿宋" w:hAnsi="仿宋" w:eastAsia="仿宋" w:cs="Arial Unicode MS"/>
                <w:color w:val="000000"/>
                <w:lang w:val="en-US" w:eastAsia="zh-CN"/>
              </w:rPr>
              <w:t xml:space="preserve">9393.53 </w:t>
            </w:r>
          </w:p>
        </w:tc>
        <w:tc>
          <w:tcPr>
            <w:tcW w:w="778" w:type="pct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eastAsia" w:ascii="仿宋" w:hAnsi="仿宋" w:eastAsia="仿宋" w:cs="Arial Unicode MS"/>
                <w:color w:val="000000"/>
                <w:lang w:val="en-US" w:eastAsia="zh-CN"/>
              </w:rPr>
            </w:pPr>
            <w:r>
              <w:rPr>
                <w:rFonts w:hint="eastAsia" w:ascii="仿宋" w:hAnsi="仿宋" w:eastAsia="仿宋" w:cs="Arial Unicode MS"/>
                <w:color w:val="000000"/>
                <w:lang w:val="en-US" w:eastAsia="zh-CN"/>
              </w:rPr>
              <w:t xml:space="preserve">9192.07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000" w:type="pct"/>
            <w:gridSpan w:val="4"/>
            <w:shd w:val="clear" w:color="000000" w:fill="D9D9D9"/>
          </w:tcPr>
          <w:p>
            <w:pPr>
              <w:snapToGrid w:val="0"/>
              <w:spacing w:line="480" w:lineRule="exact"/>
              <w:rPr>
                <w:rFonts w:ascii="仿宋" w:hAnsi="仿宋" w:eastAsia="仿宋" w:cs="Arial Unicode MS"/>
                <w:color w:val="000000"/>
                <w:lang w:eastAsia="zh-CN"/>
              </w:rPr>
            </w:pPr>
            <w:r>
              <w:rPr>
                <w:rFonts w:hint="eastAsia" w:ascii="仿宋" w:hAnsi="仿宋" w:eastAsia="仿宋" w:cs="Arial Unicode MS"/>
                <w:b/>
                <w:bCs/>
                <w:color w:val="000000"/>
                <w:lang w:eastAsia="zh-CN"/>
              </w:rPr>
              <w:t>风险加权资产（数额）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88" w:type="pct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ascii="仿宋" w:hAnsi="仿宋" w:eastAsia="仿宋" w:cs="Arial Unicode MS"/>
                <w:color w:val="000000"/>
              </w:rPr>
            </w:pPr>
            <w:r>
              <w:rPr>
                <w:rFonts w:hint="eastAsia" w:ascii="仿宋" w:hAnsi="仿宋" w:eastAsia="仿宋" w:cs="Arial Unicode MS"/>
                <w:color w:val="000000"/>
              </w:rPr>
              <w:t>3</w:t>
            </w:r>
          </w:p>
        </w:tc>
        <w:tc>
          <w:tcPr>
            <w:tcW w:w="2987" w:type="pct"/>
            <w:vAlign w:val="center"/>
          </w:tcPr>
          <w:p>
            <w:pPr>
              <w:snapToGrid w:val="0"/>
              <w:spacing w:line="480" w:lineRule="exact"/>
              <w:jc w:val="both"/>
              <w:rPr>
                <w:rFonts w:ascii="仿宋" w:hAnsi="仿宋" w:eastAsia="仿宋" w:cs="Arial Unicode MS"/>
                <w:color w:val="000000"/>
              </w:rPr>
            </w:pPr>
            <w:r>
              <w:rPr>
                <w:rFonts w:hint="eastAsia" w:ascii="仿宋" w:hAnsi="仿宋" w:eastAsia="仿宋" w:cs="Arial Unicode MS"/>
                <w:color w:val="000000"/>
              </w:rPr>
              <w:t>信用风险加权资产</w:t>
            </w:r>
          </w:p>
        </w:tc>
        <w:tc>
          <w:tcPr>
            <w:tcW w:w="746" w:type="pct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eastAsia" w:ascii="仿宋" w:hAnsi="仿宋" w:eastAsia="仿宋" w:cs="Arial Unicode MS"/>
                <w:color w:val="000000"/>
                <w:lang w:val="en-US" w:eastAsia="en-US"/>
              </w:rPr>
            </w:pPr>
            <w:r>
              <w:rPr>
                <w:rFonts w:hint="eastAsia" w:ascii="仿宋" w:hAnsi="仿宋" w:eastAsia="仿宋" w:cs="Arial Unicode MS"/>
                <w:color w:val="000000"/>
                <w:lang w:val="en-US" w:eastAsia="zh-CN"/>
              </w:rPr>
              <w:t xml:space="preserve">45664.06 </w:t>
            </w:r>
          </w:p>
        </w:tc>
        <w:tc>
          <w:tcPr>
            <w:tcW w:w="778" w:type="pct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ascii="仿宋" w:hAnsi="仿宋" w:eastAsia="仿宋" w:cs="Arial Unicode MS"/>
                <w:color w:val="000000"/>
              </w:rPr>
            </w:pPr>
            <w:r>
              <w:rPr>
                <w:rFonts w:hint="eastAsia" w:ascii="仿宋" w:hAnsi="仿宋" w:eastAsia="仿宋" w:cs="Arial Unicode MS"/>
                <w:color w:val="000000"/>
              </w:rPr>
              <w:t xml:space="preserve">44453.12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88" w:type="pct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ascii="仿宋" w:hAnsi="仿宋" w:eastAsia="仿宋" w:cs="Arial Unicode MS"/>
                <w:color w:val="000000"/>
              </w:rPr>
            </w:pPr>
            <w:r>
              <w:rPr>
                <w:rFonts w:hint="eastAsia" w:ascii="仿宋" w:hAnsi="仿宋" w:eastAsia="仿宋" w:cs="Arial Unicode MS"/>
                <w:color w:val="000000"/>
              </w:rPr>
              <w:t>4</w:t>
            </w:r>
          </w:p>
        </w:tc>
        <w:tc>
          <w:tcPr>
            <w:tcW w:w="2987" w:type="pct"/>
            <w:vAlign w:val="center"/>
          </w:tcPr>
          <w:p>
            <w:pPr>
              <w:snapToGrid w:val="0"/>
              <w:spacing w:line="480" w:lineRule="exact"/>
              <w:jc w:val="both"/>
              <w:rPr>
                <w:rFonts w:ascii="仿宋" w:hAnsi="仿宋" w:eastAsia="仿宋" w:cs="Arial Unicode MS"/>
                <w:color w:val="000000"/>
              </w:rPr>
            </w:pPr>
            <w:r>
              <w:rPr>
                <w:rFonts w:hint="eastAsia" w:ascii="仿宋" w:hAnsi="仿宋" w:eastAsia="仿宋" w:cs="Arial Unicode MS"/>
                <w:color w:val="000000"/>
              </w:rPr>
              <w:t>操作风险加权资产</w:t>
            </w:r>
          </w:p>
        </w:tc>
        <w:tc>
          <w:tcPr>
            <w:tcW w:w="746" w:type="pct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default" w:ascii="仿宋" w:hAnsi="仿宋" w:eastAsia="仿宋" w:cs="Arial Unicode MS"/>
                <w:color w:val="000000"/>
                <w:lang w:val="en-US" w:eastAsia="zh-CN"/>
              </w:rPr>
            </w:pPr>
            <w:r>
              <w:rPr>
                <w:rFonts w:hint="eastAsia" w:ascii="仿宋" w:hAnsi="仿宋" w:eastAsia="仿宋" w:cs="Arial Unicode MS"/>
                <w:color w:val="000000"/>
                <w:lang w:val="en-US" w:eastAsia="zh-CN"/>
              </w:rPr>
              <w:t xml:space="preserve">6349.16 </w:t>
            </w:r>
          </w:p>
        </w:tc>
        <w:tc>
          <w:tcPr>
            <w:tcW w:w="778" w:type="pct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ascii="仿宋" w:hAnsi="仿宋" w:eastAsia="仿宋" w:cs="Arial Unicode MS"/>
                <w:color w:val="000000"/>
              </w:rPr>
            </w:pPr>
            <w:r>
              <w:rPr>
                <w:rFonts w:hint="eastAsia" w:ascii="仿宋" w:hAnsi="仿宋" w:eastAsia="仿宋" w:cs="Arial Unicode MS"/>
                <w:color w:val="000000"/>
              </w:rPr>
              <w:t>869.62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88" w:type="pct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ascii="仿宋" w:hAnsi="仿宋" w:eastAsia="仿宋" w:cs="Arial Unicode MS"/>
                <w:color w:val="000000"/>
              </w:rPr>
            </w:pPr>
            <w:r>
              <w:rPr>
                <w:rFonts w:hint="eastAsia" w:ascii="仿宋" w:hAnsi="仿宋" w:eastAsia="仿宋" w:cs="Arial Unicode MS"/>
                <w:color w:val="000000"/>
              </w:rPr>
              <w:t>5</w:t>
            </w:r>
          </w:p>
        </w:tc>
        <w:tc>
          <w:tcPr>
            <w:tcW w:w="2987" w:type="pct"/>
            <w:vAlign w:val="center"/>
          </w:tcPr>
          <w:p>
            <w:pPr>
              <w:snapToGrid w:val="0"/>
              <w:spacing w:line="480" w:lineRule="exact"/>
              <w:jc w:val="both"/>
              <w:rPr>
                <w:rFonts w:ascii="仿宋" w:hAnsi="仿宋" w:eastAsia="仿宋" w:cs="Arial Unicode MS"/>
                <w:color w:val="000000"/>
              </w:rPr>
            </w:pPr>
            <w:r>
              <w:rPr>
                <w:rFonts w:hint="eastAsia" w:ascii="仿宋" w:hAnsi="仿宋" w:eastAsia="仿宋" w:cs="Arial Unicode MS"/>
                <w:color w:val="000000"/>
              </w:rPr>
              <w:t>风险加权资产合计</w:t>
            </w:r>
          </w:p>
        </w:tc>
        <w:tc>
          <w:tcPr>
            <w:tcW w:w="746" w:type="pct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eastAsia" w:ascii="仿宋" w:hAnsi="仿宋" w:eastAsia="仿宋" w:cs="Arial Unicode MS"/>
                <w:color w:val="000000"/>
                <w:lang w:val="en-US" w:eastAsia="en-US"/>
              </w:rPr>
            </w:pPr>
            <w:r>
              <w:rPr>
                <w:rFonts w:hint="eastAsia" w:ascii="仿宋" w:hAnsi="仿宋" w:eastAsia="仿宋" w:cs="Arial Unicode MS"/>
                <w:color w:val="000000"/>
                <w:lang w:val="en-US" w:eastAsia="zh-CN"/>
              </w:rPr>
              <w:t xml:space="preserve">52013.21 </w:t>
            </w:r>
          </w:p>
        </w:tc>
        <w:tc>
          <w:tcPr>
            <w:tcW w:w="778" w:type="pct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eastAsia" w:ascii="仿宋" w:hAnsi="仿宋" w:eastAsia="仿宋" w:cs="Arial Unicode MS"/>
                <w:color w:val="000000"/>
                <w:lang w:val="en-US" w:eastAsia="en-US"/>
              </w:rPr>
            </w:pPr>
            <w:r>
              <w:rPr>
                <w:rFonts w:hint="eastAsia" w:ascii="仿宋" w:hAnsi="仿宋" w:eastAsia="仿宋" w:cs="Arial Unicode MS"/>
                <w:color w:val="000000"/>
                <w:lang w:val="en-US" w:eastAsia="zh-CN"/>
              </w:rPr>
              <w:t xml:space="preserve">6349.16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000" w:type="pct"/>
            <w:gridSpan w:val="4"/>
            <w:shd w:val="clear" w:color="000000" w:fill="D9D9D9"/>
          </w:tcPr>
          <w:p>
            <w:pPr>
              <w:snapToGrid w:val="0"/>
              <w:spacing w:line="480" w:lineRule="exact"/>
              <w:rPr>
                <w:rFonts w:ascii="仿宋" w:hAnsi="仿宋" w:eastAsia="仿宋" w:cs="Arial Unicode MS"/>
                <w:color w:val="000000"/>
              </w:rPr>
            </w:pPr>
            <w:r>
              <w:rPr>
                <w:rFonts w:hint="eastAsia" w:ascii="仿宋" w:hAnsi="仿宋" w:eastAsia="仿宋" w:cs="Arial Unicode MS"/>
                <w:b/>
                <w:bCs/>
                <w:color w:val="000000"/>
              </w:rPr>
              <w:t>资本充足率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88" w:type="pct"/>
            <w:tcBorders>
              <w:left w:val="nil"/>
            </w:tcBorders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ascii="仿宋" w:hAnsi="仿宋" w:eastAsia="仿宋" w:cs="Arial Unicode MS"/>
                <w:color w:val="000000"/>
              </w:rPr>
            </w:pPr>
            <w:r>
              <w:rPr>
                <w:rFonts w:hint="eastAsia" w:ascii="仿宋" w:hAnsi="仿宋" w:eastAsia="仿宋" w:cs="Arial Unicode MS"/>
                <w:color w:val="000000"/>
              </w:rPr>
              <w:t>6</w:t>
            </w:r>
          </w:p>
        </w:tc>
        <w:tc>
          <w:tcPr>
            <w:tcW w:w="2987" w:type="pct"/>
            <w:vAlign w:val="center"/>
          </w:tcPr>
          <w:p>
            <w:pPr>
              <w:snapToGrid w:val="0"/>
              <w:spacing w:line="480" w:lineRule="exact"/>
              <w:jc w:val="both"/>
              <w:rPr>
                <w:rFonts w:ascii="仿宋" w:hAnsi="仿宋" w:eastAsia="仿宋" w:cs="Arial Unicode MS"/>
                <w:color w:val="000000"/>
                <w:lang w:eastAsia="zh-CN"/>
              </w:rPr>
            </w:pPr>
            <w:r>
              <w:rPr>
                <w:rFonts w:hint="eastAsia" w:ascii="仿宋" w:hAnsi="仿宋" w:eastAsia="仿宋" w:cs="Arial Unicode MS"/>
                <w:color w:val="000000"/>
                <w:lang w:eastAsia="zh-CN"/>
              </w:rPr>
              <w:t>核心一级资本充足率（</w:t>
            </w:r>
            <w:r>
              <w:rPr>
                <w:rFonts w:ascii="仿宋" w:hAnsi="仿宋" w:eastAsia="仿宋" w:cs="Arial Unicode MS"/>
                <w:color w:val="000000"/>
                <w:lang w:eastAsia="zh-CN"/>
              </w:rPr>
              <w:t>%）</w:t>
            </w:r>
          </w:p>
        </w:tc>
        <w:tc>
          <w:tcPr>
            <w:tcW w:w="746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Arial Unicode MS"/>
                <w:color w:val="000000"/>
                <w:lang w:val="en-US" w:eastAsia="zh-CN"/>
              </w:rPr>
            </w:pPr>
            <w:r>
              <w:rPr>
                <w:rFonts w:hint="eastAsia" w:ascii="仿宋" w:hAnsi="仿宋" w:eastAsia="仿宋" w:cs="Arial Unicode MS"/>
                <w:color w:val="000000"/>
                <w:lang w:val="en-US" w:eastAsia="zh-CN"/>
              </w:rPr>
              <w:t>15.72</w:t>
            </w:r>
          </w:p>
        </w:tc>
        <w:tc>
          <w:tcPr>
            <w:tcW w:w="1503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Arial Unicode MS"/>
                <w:color w:val="000000"/>
                <w:lang w:val="en-US" w:eastAsia="zh-CN"/>
              </w:rPr>
            </w:pPr>
            <w:r>
              <w:rPr>
                <w:rFonts w:hint="eastAsia" w:ascii="仿宋" w:hAnsi="仿宋" w:eastAsia="仿宋" w:cs="Arial Unicode MS"/>
                <w:color w:val="000000"/>
                <w:lang w:val="en-US" w:eastAsia="zh-CN"/>
              </w:rPr>
              <w:t>15.66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88" w:type="pct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ascii="仿宋" w:hAnsi="仿宋" w:eastAsia="仿宋" w:cs="Arial Unicode MS"/>
                <w:color w:val="000000"/>
              </w:rPr>
            </w:pPr>
            <w:r>
              <w:rPr>
                <w:rFonts w:hint="eastAsia" w:ascii="仿宋" w:hAnsi="仿宋" w:eastAsia="仿宋" w:cs="Arial Unicode MS"/>
                <w:color w:val="000000"/>
              </w:rPr>
              <w:t>7</w:t>
            </w:r>
          </w:p>
        </w:tc>
        <w:tc>
          <w:tcPr>
            <w:tcW w:w="2987" w:type="pct"/>
            <w:vAlign w:val="center"/>
          </w:tcPr>
          <w:p>
            <w:pPr>
              <w:snapToGrid w:val="0"/>
              <w:spacing w:line="480" w:lineRule="exact"/>
              <w:jc w:val="both"/>
              <w:rPr>
                <w:rFonts w:ascii="仿宋" w:hAnsi="仿宋" w:eastAsia="仿宋" w:cs="Arial Unicode MS"/>
                <w:color w:val="000000"/>
              </w:rPr>
            </w:pPr>
            <w:r>
              <w:rPr>
                <w:rFonts w:hint="eastAsia" w:ascii="仿宋" w:hAnsi="仿宋" w:eastAsia="仿宋" w:cs="Arial Unicode MS"/>
                <w:color w:val="000000"/>
              </w:rPr>
              <w:t>资本充足率（</w:t>
            </w:r>
            <w:r>
              <w:rPr>
                <w:rFonts w:ascii="仿宋" w:hAnsi="仿宋" w:eastAsia="仿宋" w:cs="Arial Unicode MS"/>
                <w:color w:val="000000"/>
              </w:rPr>
              <w:t>%）</w:t>
            </w:r>
          </w:p>
        </w:tc>
        <w:tc>
          <w:tcPr>
            <w:tcW w:w="746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Arial Unicode MS"/>
                <w:color w:val="000000"/>
                <w:lang w:val="en-US" w:eastAsia="zh-CN"/>
              </w:rPr>
            </w:pPr>
            <w:r>
              <w:rPr>
                <w:rFonts w:hint="eastAsia" w:ascii="仿宋" w:hAnsi="仿宋" w:eastAsia="仿宋" w:cs="Arial Unicode MS"/>
                <w:color w:val="000000"/>
                <w:lang w:val="en-US" w:eastAsia="zh-CN"/>
              </w:rPr>
              <w:t>18.06</w:t>
            </w:r>
          </w:p>
        </w:tc>
        <w:tc>
          <w:tcPr>
            <w:tcW w:w="150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Arial Unicode MS"/>
                <w:color w:val="000000"/>
                <w:lang w:val="en-US" w:eastAsia="en-US"/>
              </w:rPr>
            </w:pPr>
            <w:r>
              <w:rPr>
                <w:rFonts w:hint="eastAsia" w:ascii="仿宋" w:hAnsi="仿宋" w:eastAsia="仿宋" w:cs="Arial Unicode MS"/>
                <w:color w:val="000000"/>
                <w:lang w:val="en-US" w:eastAsia="zh-CN"/>
              </w:rPr>
              <w:t>18.09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000" w:type="pct"/>
            <w:gridSpan w:val="4"/>
            <w:shd w:val="clear" w:color="000000" w:fill="D9D9D9"/>
          </w:tcPr>
          <w:p>
            <w:pPr>
              <w:snapToGrid w:val="0"/>
              <w:spacing w:line="480" w:lineRule="exact"/>
              <w:rPr>
                <w:rFonts w:ascii="仿宋" w:hAnsi="仿宋" w:eastAsia="仿宋" w:cs="Arial Unicode MS"/>
                <w:color w:val="000000"/>
              </w:rPr>
            </w:pPr>
            <w:r>
              <w:rPr>
                <w:rFonts w:hint="eastAsia" w:ascii="仿宋" w:hAnsi="仿宋" w:eastAsia="仿宋" w:cs="Arial Unicode MS"/>
                <w:b/>
                <w:bCs/>
                <w:color w:val="000000"/>
              </w:rPr>
              <w:t>杠杆率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88" w:type="pct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ascii="仿宋" w:hAnsi="仿宋" w:eastAsia="仿宋" w:cs="Arial Unicode MS"/>
                <w:color w:val="000000"/>
              </w:rPr>
            </w:pPr>
            <w:r>
              <w:rPr>
                <w:rFonts w:hint="eastAsia" w:ascii="仿宋" w:hAnsi="仿宋" w:eastAsia="仿宋" w:cs="Arial Unicode MS"/>
                <w:color w:val="000000"/>
              </w:rPr>
              <w:t>8</w:t>
            </w:r>
          </w:p>
        </w:tc>
        <w:tc>
          <w:tcPr>
            <w:tcW w:w="2987" w:type="pct"/>
            <w:vAlign w:val="center"/>
          </w:tcPr>
          <w:p>
            <w:pPr>
              <w:snapToGrid w:val="0"/>
              <w:spacing w:line="480" w:lineRule="exact"/>
              <w:jc w:val="both"/>
              <w:rPr>
                <w:rFonts w:ascii="仿宋" w:hAnsi="仿宋" w:eastAsia="仿宋" w:cs="Arial Unicode MS"/>
                <w:color w:val="000000"/>
                <w:lang w:eastAsia="zh-CN"/>
              </w:rPr>
            </w:pPr>
            <w:r>
              <w:rPr>
                <w:rFonts w:hint="eastAsia" w:ascii="仿宋" w:hAnsi="仿宋" w:eastAsia="仿宋" w:cs="Arial Unicode MS"/>
                <w:color w:val="000000"/>
                <w:lang w:eastAsia="zh-CN"/>
              </w:rPr>
              <w:t>调整后表内外资产余额</w:t>
            </w:r>
          </w:p>
        </w:tc>
        <w:tc>
          <w:tcPr>
            <w:tcW w:w="746" w:type="pct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default" w:ascii="仿宋" w:hAnsi="仿宋" w:eastAsia="仿宋" w:cs="Arial Unicode MS"/>
                <w:color w:val="000000"/>
                <w:lang w:val="en-US" w:eastAsia="zh-CN"/>
              </w:rPr>
            </w:pPr>
            <w:r>
              <w:rPr>
                <w:rFonts w:hint="eastAsia" w:ascii="仿宋" w:hAnsi="仿宋" w:eastAsia="仿宋" w:cs="Arial Unicode MS"/>
                <w:color w:val="000000"/>
                <w:lang w:eastAsia="zh-CN"/>
              </w:rPr>
              <w:t>83570.80</w:t>
            </w:r>
          </w:p>
        </w:tc>
        <w:tc>
          <w:tcPr>
            <w:tcW w:w="778" w:type="pct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default" w:ascii="仿宋" w:hAnsi="仿宋" w:eastAsia="仿宋" w:cs="Arial Unicode MS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Arial Unicode MS"/>
                <w:color w:val="000000"/>
                <w:lang w:val="en-US" w:eastAsia="zh-CN"/>
              </w:rPr>
              <w:t>81200.31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88" w:type="pct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ascii="仿宋" w:hAnsi="仿宋" w:eastAsia="仿宋" w:cs="Arial Unicode MS"/>
                <w:color w:val="000000"/>
              </w:rPr>
            </w:pPr>
            <w:r>
              <w:rPr>
                <w:rFonts w:hint="eastAsia" w:ascii="仿宋" w:hAnsi="仿宋" w:eastAsia="仿宋" w:cs="Arial Unicode MS"/>
                <w:color w:val="000000"/>
              </w:rPr>
              <w:t>9</w:t>
            </w:r>
          </w:p>
        </w:tc>
        <w:tc>
          <w:tcPr>
            <w:tcW w:w="2987" w:type="pct"/>
            <w:vAlign w:val="center"/>
          </w:tcPr>
          <w:p>
            <w:pPr>
              <w:snapToGrid w:val="0"/>
              <w:spacing w:line="480" w:lineRule="exact"/>
              <w:jc w:val="both"/>
              <w:rPr>
                <w:rFonts w:ascii="仿宋" w:hAnsi="仿宋" w:eastAsia="仿宋" w:cs="Arial Unicode MS"/>
                <w:color w:val="000000"/>
              </w:rPr>
            </w:pPr>
            <w:r>
              <w:rPr>
                <w:rFonts w:hint="eastAsia" w:ascii="仿宋" w:hAnsi="仿宋" w:eastAsia="仿宋" w:cs="仿宋_GB2312"/>
                <w:color w:val="000000"/>
              </w:rPr>
              <w:t>杠杆率</w:t>
            </w:r>
            <w:r>
              <w:rPr>
                <w:rFonts w:hint="eastAsia" w:ascii="仿宋" w:hAnsi="仿宋" w:eastAsia="仿宋" w:cs="Arial Unicode MS"/>
                <w:color w:val="000000"/>
              </w:rPr>
              <w:t>（</w:t>
            </w:r>
            <w:r>
              <w:rPr>
                <w:rFonts w:ascii="仿宋" w:hAnsi="仿宋" w:eastAsia="仿宋" w:cs="Arial Unicode MS"/>
                <w:color w:val="000000"/>
              </w:rPr>
              <w:t>%）</w:t>
            </w:r>
          </w:p>
        </w:tc>
        <w:tc>
          <w:tcPr>
            <w:tcW w:w="746" w:type="pct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default" w:ascii="仿宋" w:hAnsi="仿宋" w:eastAsia="仿宋" w:cs="Arial Unicode MS"/>
                <w:color w:val="000000"/>
                <w:lang w:val="en-US" w:eastAsia="zh-CN"/>
              </w:rPr>
            </w:pPr>
            <w:r>
              <w:rPr>
                <w:rFonts w:hint="eastAsia" w:ascii="仿宋" w:hAnsi="仿宋" w:eastAsia="仿宋" w:cs="Arial Unicode MS"/>
                <w:color w:val="000000"/>
                <w:lang w:val="en-US" w:eastAsia="zh-CN"/>
              </w:rPr>
              <w:t>9.78</w:t>
            </w:r>
          </w:p>
        </w:tc>
        <w:tc>
          <w:tcPr>
            <w:tcW w:w="778" w:type="pct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default" w:ascii="仿宋" w:hAnsi="仿宋" w:eastAsia="仿宋" w:cs="Arial Unicode MS"/>
                <w:color w:val="00000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" w:hAnsi="仿宋" w:eastAsia="仿宋" w:cs="Arial Unicode MS"/>
                <w:color w:val="000000"/>
                <w:lang w:val="en-US" w:eastAsia="zh-CN"/>
              </w:rPr>
              <w:t>9.80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88" w:type="pct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ascii="仿宋" w:hAnsi="仿宋" w:eastAsia="仿宋" w:cs="Arial Unicode MS"/>
                <w:color w:val="000000"/>
              </w:rPr>
            </w:pPr>
            <w:r>
              <w:rPr>
                <w:rFonts w:hint="eastAsia" w:ascii="仿宋" w:hAnsi="仿宋" w:eastAsia="仿宋" w:cs="Arial Unicode MS"/>
                <w:color w:val="000000"/>
              </w:rPr>
              <w:t>10</w:t>
            </w:r>
          </w:p>
        </w:tc>
        <w:tc>
          <w:tcPr>
            <w:tcW w:w="2987" w:type="pct"/>
            <w:vAlign w:val="center"/>
          </w:tcPr>
          <w:p>
            <w:pPr>
              <w:snapToGrid w:val="0"/>
              <w:spacing w:line="480" w:lineRule="exact"/>
              <w:jc w:val="both"/>
              <w:rPr>
                <w:rFonts w:ascii="仿宋" w:hAnsi="仿宋" w:eastAsia="仿宋" w:cs="Arial Unicode MS"/>
                <w:color w:val="000000"/>
              </w:rPr>
            </w:pPr>
            <w:r>
              <w:rPr>
                <w:rFonts w:hint="eastAsia" w:ascii="仿宋" w:hAnsi="仿宋" w:eastAsia="仿宋" w:cs="仿宋_GB2312"/>
                <w:color w:val="000000"/>
              </w:rPr>
              <w:t>杠杆率a</w:t>
            </w:r>
            <w:r>
              <w:rPr>
                <w:rFonts w:hint="eastAsia" w:ascii="仿宋" w:hAnsi="仿宋" w:eastAsia="仿宋" w:cs="Arial Unicode MS"/>
                <w:color w:val="000000"/>
              </w:rPr>
              <w:t>（</w:t>
            </w:r>
            <w:r>
              <w:rPr>
                <w:rFonts w:ascii="仿宋" w:hAnsi="仿宋" w:eastAsia="仿宋" w:cs="Arial Unicode MS"/>
                <w:color w:val="000000"/>
              </w:rPr>
              <w:t>%）</w:t>
            </w:r>
          </w:p>
        </w:tc>
        <w:tc>
          <w:tcPr>
            <w:tcW w:w="746" w:type="pct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default" w:ascii="仿宋" w:hAnsi="仿宋" w:eastAsia="仿宋" w:cs="Arial Unicode MS"/>
                <w:color w:val="000000"/>
                <w:lang w:val="en-US" w:eastAsia="zh-CN"/>
              </w:rPr>
            </w:pPr>
            <w:r>
              <w:rPr>
                <w:rFonts w:hint="eastAsia" w:ascii="仿宋" w:hAnsi="仿宋" w:eastAsia="仿宋" w:cs="Arial Unicode MS"/>
                <w:color w:val="000000"/>
                <w:lang w:val="en-US" w:eastAsia="zh-CN"/>
              </w:rPr>
              <w:t>9.78</w:t>
            </w:r>
          </w:p>
        </w:tc>
        <w:tc>
          <w:tcPr>
            <w:tcW w:w="778" w:type="pct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default" w:ascii="仿宋" w:hAnsi="仿宋" w:eastAsia="仿宋" w:cs="Arial Unicode MS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Arial Unicode MS"/>
                <w:color w:val="000000"/>
                <w:lang w:val="en-US" w:eastAsia="zh-CN"/>
              </w:rPr>
              <w:t>9.80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000" w:type="pct"/>
            <w:gridSpan w:val="4"/>
            <w:shd w:val="clear" w:color="000000" w:fill="D9D9D9"/>
          </w:tcPr>
          <w:p>
            <w:pPr>
              <w:snapToGrid w:val="0"/>
              <w:spacing w:line="480" w:lineRule="exact"/>
              <w:rPr>
                <w:rFonts w:ascii="仿宋" w:hAnsi="仿宋" w:eastAsia="仿宋" w:cs="Arial Unicode MS"/>
                <w:color w:val="000000"/>
              </w:rPr>
            </w:pPr>
            <w:r>
              <w:rPr>
                <w:rFonts w:hint="eastAsia" w:ascii="仿宋" w:hAnsi="仿宋" w:eastAsia="仿宋" w:cs="Arial Unicode MS"/>
                <w:b/>
                <w:bCs/>
                <w:color w:val="000000"/>
              </w:rPr>
              <w:t>流动性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88" w:type="pct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ascii="仿宋" w:hAnsi="仿宋" w:eastAsia="仿宋" w:cs="Arial Unicode MS"/>
                <w:color w:val="000000"/>
              </w:rPr>
            </w:pPr>
            <w:r>
              <w:rPr>
                <w:rFonts w:hint="eastAsia" w:ascii="仿宋" w:hAnsi="仿宋" w:eastAsia="仿宋" w:cs="Arial Unicode MS"/>
                <w:color w:val="000000"/>
              </w:rPr>
              <w:t>11</w:t>
            </w:r>
          </w:p>
        </w:tc>
        <w:tc>
          <w:tcPr>
            <w:tcW w:w="2987" w:type="pct"/>
            <w:vAlign w:val="center"/>
          </w:tcPr>
          <w:p>
            <w:pPr>
              <w:snapToGrid w:val="0"/>
              <w:spacing w:line="480" w:lineRule="exact"/>
              <w:jc w:val="both"/>
              <w:rPr>
                <w:rFonts w:ascii="仿宋" w:hAnsi="仿宋" w:eastAsia="仿宋" w:cs="Arial Unicode MS"/>
                <w:color w:val="000000"/>
                <w:lang w:eastAsia="zh-CN"/>
              </w:rPr>
            </w:pPr>
            <w:r>
              <w:rPr>
                <w:rFonts w:hint="eastAsia" w:ascii="仿宋" w:hAnsi="仿宋" w:eastAsia="仿宋" w:cs="Arial Unicode MS"/>
                <w:color w:val="000000"/>
                <w:lang w:eastAsia="zh-CN"/>
              </w:rPr>
              <w:t>优质流动性资产充足率（</w:t>
            </w:r>
            <w:r>
              <w:rPr>
                <w:rFonts w:ascii="仿宋" w:hAnsi="仿宋" w:eastAsia="仿宋" w:cs="Arial Unicode MS"/>
                <w:color w:val="000000"/>
                <w:lang w:eastAsia="zh-CN"/>
              </w:rPr>
              <w:t>%）</w:t>
            </w:r>
          </w:p>
        </w:tc>
        <w:tc>
          <w:tcPr>
            <w:tcW w:w="746" w:type="pct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default" w:ascii="仿宋" w:hAnsi="仿宋" w:eastAsia="仿宋" w:cs="Arial Unicode MS"/>
                <w:color w:val="000000"/>
                <w:lang w:val="en-US" w:eastAsia="zh-CN"/>
              </w:rPr>
            </w:pPr>
            <w:r>
              <w:rPr>
                <w:rFonts w:hint="eastAsia" w:ascii="仿宋" w:hAnsi="仿宋" w:eastAsia="仿宋" w:cs="Arial Unicode MS"/>
                <w:color w:val="000000"/>
                <w:lang w:val="en-US" w:eastAsia="zh-CN"/>
              </w:rPr>
              <w:t>13.00</w:t>
            </w:r>
          </w:p>
        </w:tc>
        <w:tc>
          <w:tcPr>
            <w:tcW w:w="778" w:type="pct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default" w:ascii="仿宋" w:hAnsi="仿宋" w:eastAsia="仿宋" w:cs="Arial Unicode MS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Arial Unicode MS"/>
                <w:color w:val="000000"/>
                <w:lang w:val="en-US" w:eastAsia="zh-CN"/>
              </w:rPr>
              <w:t>15.80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88" w:type="pct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ascii="仿宋" w:hAnsi="仿宋" w:eastAsia="仿宋" w:cs="Arial Unicode MS"/>
                <w:color w:val="000000"/>
              </w:rPr>
            </w:pPr>
            <w:r>
              <w:rPr>
                <w:rFonts w:hint="eastAsia" w:ascii="仿宋" w:hAnsi="仿宋" w:eastAsia="仿宋" w:cs="Arial Unicode MS"/>
                <w:color w:val="000000"/>
              </w:rPr>
              <w:t>12</w:t>
            </w:r>
          </w:p>
        </w:tc>
        <w:tc>
          <w:tcPr>
            <w:tcW w:w="2987" w:type="pct"/>
            <w:vAlign w:val="center"/>
          </w:tcPr>
          <w:p>
            <w:pPr>
              <w:snapToGrid w:val="0"/>
              <w:spacing w:line="480" w:lineRule="exact"/>
              <w:jc w:val="both"/>
              <w:rPr>
                <w:rFonts w:ascii="仿宋" w:hAnsi="仿宋" w:eastAsia="仿宋" w:cs="Arial Unicode MS"/>
                <w:color w:val="000000"/>
              </w:rPr>
            </w:pPr>
            <w:r>
              <w:rPr>
                <w:rFonts w:hint="eastAsia" w:ascii="仿宋" w:hAnsi="仿宋" w:eastAsia="仿宋" w:cs="Arial Unicode MS"/>
                <w:color w:val="000000"/>
              </w:rPr>
              <w:t>流动性比例（</w:t>
            </w:r>
            <w:r>
              <w:rPr>
                <w:rFonts w:ascii="仿宋" w:hAnsi="仿宋" w:eastAsia="仿宋" w:cs="Arial Unicode MS"/>
                <w:color w:val="000000"/>
              </w:rPr>
              <w:t>%）</w:t>
            </w:r>
          </w:p>
        </w:tc>
        <w:tc>
          <w:tcPr>
            <w:tcW w:w="746" w:type="pct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default" w:ascii="仿宋" w:hAnsi="仿宋" w:eastAsia="仿宋" w:cs="Arial Unicode MS"/>
                <w:color w:val="000000"/>
                <w:lang w:val="en-US" w:eastAsia="zh-CN"/>
              </w:rPr>
            </w:pPr>
            <w:r>
              <w:rPr>
                <w:rFonts w:hint="eastAsia" w:ascii="仿宋" w:hAnsi="仿宋" w:eastAsia="仿宋" w:cs="Arial Unicode MS"/>
                <w:color w:val="000000"/>
                <w:lang w:val="en-US" w:eastAsia="zh-CN"/>
              </w:rPr>
              <w:t>208.18</w:t>
            </w:r>
          </w:p>
        </w:tc>
        <w:tc>
          <w:tcPr>
            <w:tcW w:w="778" w:type="pct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default" w:ascii="仿宋" w:hAnsi="仿宋" w:eastAsia="仿宋" w:cs="Arial Unicode MS"/>
                <w:color w:val="00000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" w:hAnsi="仿宋" w:eastAsia="仿宋" w:cs="Arial Unicode MS"/>
                <w:color w:val="000000"/>
                <w:lang w:val="en-US" w:eastAsia="zh-CN"/>
              </w:rPr>
              <w:t>156.42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88" w:type="pct"/>
            <w:shd w:val="clear" w:color="auto" w:fill="FFFFFF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ascii="仿宋" w:hAnsi="仿宋" w:eastAsia="仿宋" w:cs="Arial Unicode MS"/>
                <w:color w:val="000000"/>
              </w:rPr>
            </w:pPr>
            <w:r>
              <w:rPr>
                <w:rFonts w:hint="eastAsia" w:ascii="仿宋" w:hAnsi="仿宋" w:eastAsia="仿宋" w:cs="Arial Unicode MS"/>
                <w:color w:val="000000"/>
              </w:rPr>
              <w:t>13</w:t>
            </w:r>
          </w:p>
        </w:tc>
        <w:tc>
          <w:tcPr>
            <w:tcW w:w="2987" w:type="pct"/>
            <w:shd w:val="clear" w:color="auto" w:fill="FFFFFF"/>
            <w:vAlign w:val="center"/>
          </w:tcPr>
          <w:p>
            <w:pPr>
              <w:snapToGrid w:val="0"/>
              <w:spacing w:line="480" w:lineRule="exact"/>
              <w:jc w:val="both"/>
              <w:rPr>
                <w:rFonts w:ascii="仿宋" w:hAnsi="仿宋" w:eastAsia="仿宋" w:cs="Arial Unicode MS"/>
                <w:color w:val="000000"/>
              </w:rPr>
            </w:pPr>
            <w:r>
              <w:rPr>
                <w:rFonts w:hint="eastAsia" w:ascii="仿宋" w:hAnsi="仿宋" w:eastAsia="仿宋" w:cs="Arial Unicode MS"/>
                <w:color w:val="000000"/>
              </w:rPr>
              <w:t>流动性匹配率（</w:t>
            </w:r>
            <w:r>
              <w:rPr>
                <w:rFonts w:ascii="仿宋" w:hAnsi="仿宋" w:eastAsia="仿宋" w:cs="Arial Unicode MS"/>
                <w:color w:val="000000"/>
              </w:rPr>
              <w:t>%）</w:t>
            </w:r>
          </w:p>
        </w:tc>
        <w:tc>
          <w:tcPr>
            <w:tcW w:w="746" w:type="pct"/>
            <w:shd w:val="clear" w:color="auto" w:fill="FFFFFF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default" w:ascii="仿宋" w:hAnsi="仿宋" w:eastAsia="仿宋" w:cs="Arial Unicode MS"/>
                <w:color w:val="000000"/>
                <w:lang w:val="en-US" w:eastAsia="zh-CN"/>
              </w:rPr>
            </w:pPr>
            <w:r>
              <w:rPr>
                <w:rFonts w:hint="eastAsia" w:ascii="仿宋" w:hAnsi="仿宋" w:eastAsia="仿宋" w:cs="Arial Unicode MS"/>
                <w:color w:val="000000"/>
                <w:lang w:val="en-US" w:eastAsia="zh-CN"/>
              </w:rPr>
              <w:t>168.79</w:t>
            </w:r>
          </w:p>
        </w:tc>
        <w:tc>
          <w:tcPr>
            <w:tcW w:w="778" w:type="pct"/>
            <w:shd w:val="clear" w:color="auto" w:fill="FFFFFF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default" w:ascii="仿宋" w:hAnsi="仿宋" w:eastAsia="仿宋" w:cs="Arial Unicode MS"/>
                <w:color w:val="00000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" w:hAnsi="仿宋" w:eastAsia="仿宋" w:cs="Arial Unicode MS"/>
                <w:color w:val="000000"/>
                <w:lang w:val="en-US" w:eastAsia="zh-CN"/>
              </w:rPr>
              <w:t>168.00</w:t>
            </w:r>
          </w:p>
        </w:tc>
      </w:tr>
    </w:tbl>
    <w:p>
      <w:pPr>
        <w:rPr>
          <w:rFonts w:ascii="仿宋" w:hAnsi="仿宋" w:eastAsia="仿宋" w:cs="仿宋"/>
          <w:lang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1440" w:right="1236" w:bottom="1440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lang w:eastAsia="zh-CN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66050"/>
    <w:rsid w:val="00102C97"/>
    <w:rsid w:val="001501A6"/>
    <w:rsid w:val="00172A27"/>
    <w:rsid w:val="002072B6"/>
    <w:rsid w:val="00215F8A"/>
    <w:rsid w:val="00223FDE"/>
    <w:rsid w:val="0025279F"/>
    <w:rsid w:val="00331308"/>
    <w:rsid w:val="006E6510"/>
    <w:rsid w:val="00731161"/>
    <w:rsid w:val="00766A65"/>
    <w:rsid w:val="00844913"/>
    <w:rsid w:val="00894CEA"/>
    <w:rsid w:val="008F472B"/>
    <w:rsid w:val="00B87DD9"/>
    <w:rsid w:val="00EA19F5"/>
    <w:rsid w:val="039D49DB"/>
    <w:rsid w:val="0414292B"/>
    <w:rsid w:val="08F972CE"/>
    <w:rsid w:val="09CD2478"/>
    <w:rsid w:val="0B875DF5"/>
    <w:rsid w:val="0C6B10B2"/>
    <w:rsid w:val="0FE8639C"/>
    <w:rsid w:val="0FEC520F"/>
    <w:rsid w:val="12AD6EB2"/>
    <w:rsid w:val="19EC1A12"/>
    <w:rsid w:val="1AED137F"/>
    <w:rsid w:val="1C1A5F0B"/>
    <w:rsid w:val="23D22653"/>
    <w:rsid w:val="283B4790"/>
    <w:rsid w:val="2F797033"/>
    <w:rsid w:val="33191FB8"/>
    <w:rsid w:val="33DD6725"/>
    <w:rsid w:val="359527F5"/>
    <w:rsid w:val="3B084B8F"/>
    <w:rsid w:val="44FA77FC"/>
    <w:rsid w:val="456E53FE"/>
    <w:rsid w:val="46244422"/>
    <w:rsid w:val="46DE18CF"/>
    <w:rsid w:val="4C2645C5"/>
    <w:rsid w:val="4D3D0AB6"/>
    <w:rsid w:val="4F022D85"/>
    <w:rsid w:val="4FD736AA"/>
    <w:rsid w:val="52FE6B4C"/>
    <w:rsid w:val="531262D1"/>
    <w:rsid w:val="553D751D"/>
    <w:rsid w:val="56FF5ECE"/>
    <w:rsid w:val="587C6CBB"/>
    <w:rsid w:val="5BFC24EF"/>
    <w:rsid w:val="5CEE212D"/>
    <w:rsid w:val="5ED73B27"/>
    <w:rsid w:val="64693149"/>
    <w:rsid w:val="65325F1A"/>
    <w:rsid w:val="66716DA1"/>
    <w:rsid w:val="68554D6F"/>
    <w:rsid w:val="68BB73E0"/>
    <w:rsid w:val="68D4658B"/>
    <w:rsid w:val="6CC249E2"/>
    <w:rsid w:val="712F63C0"/>
    <w:rsid w:val="737B5A5E"/>
    <w:rsid w:val="78E045B2"/>
    <w:rsid w:val="7BA4337C"/>
    <w:rsid w:val="7BAE3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sz w:val="24"/>
      <w:szCs w:val="24"/>
      <w:lang w:val="en-US" w:eastAsia="en-US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unhideWhenUsed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57</Words>
  <Characters>331</Characters>
  <Lines>2</Lines>
  <Paragraphs>1</Paragraphs>
  <TotalTime>2</TotalTime>
  <ScaleCrop>false</ScaleCrop>
  <LinksUpToDate>false</LinksUpToDate>
  <CharactersWithSpaces>387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2024-08-14T01:42:00Z</dcterms:created>
  <dc:creator>何时凤</dc:creator>
  <cp:lastModifiedBy>crcb</cp:lastModifiedBy>
  <cp:lastPrinted>2024-04-26T03:51:00Z</cp:lastPrinted>
  <dcterms:modified xsi:type="dcterms:W3CDTF">2026-08-31T07:46:03Z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540C4703F93D48FCB03F691F380AC879</vt:lpwstr>
  </property>
</Properties>
</file>